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427" w:rsidRDefault="0011765E" w:rsidP="001026AF">
      <w:pPr>
        <w:pStyle w:val="Overskrift2"/>
      </w:pPr>
      <w:r>
        <w:t>Vejledning til standardkontrakt</w:t>
      </w:r>
      <w:r w:rsidR="00CC2B2C">
        <w:t>er</w:t>
      </w:r>
      <w:r>
        <w:t xml:space="preserve"> vedr. sociale tilbud</w:t>
      </w:r>
      <w:r w:rsidR="00D5242B">
        <w:t xml:space="preserve"> på det specialiserede</w:t>
      </w:r>
      <w:r w:rsidR="00CC2B2C">
        <w:t xml:space="preserve"> børne- og ungeområde og</w:t>
      </w:r>
      <w:r w:rsidR="00D5242B">
        <w:t xml:space="preserve"> voksenområde</w:t>
      </w:r>
    </w:p>
    <w:p w:rsidR="0011765E" w:rsidRDefault="0011765E" w:rsidP="0011765E"/>
    <w:p w:rsidR="0011765E" w:rsidRDefault="00CC2B2C" w:rsidP="0011765E">
      <w:pPr>
        <w:pStyle w:val="Overskrift2"/>
      </w:pPr>
      <w:r>
        <w:t>Standardkontrakternes</w:t>
      </w:r>
      <w:r w:rsidR="0011765E">
        <w:t xml:space="preserve"> formål</w:t>
      </w:r>
    </w:p>
    <w:p w:rsidR="00E13691" w:rsidRDefault="00CC2B2C" w:rsidP="00E13691">
      <w:r>
        <w:t>I styringsaftalen for 2014</w:t>
      </w:r>
      <w:r w:rsidR="00E13691">
        <w:t>,</w:t>
      </w:r>
      <w:r>
        <w:t xml:space="preserve"> indgået mellem kommunerne i region Sjælland og Region Sjælland</w:t>
      </w:r>
      <w:r w:rsidR="00E13691">
        <w:t>,</w:t>
      </w:r>
      <w:r>
        <w:t xml:space="preserve"> </w:t>
      </w:r>
      <w:r w:rsidR="00E13691">
        <w:t xml:space="preserve">er besluttet at anvende </w:t>
      </w:r>
      <w:r w:rsidRPr="00CC2B2C">
        <w:t>standardkontrakter</w:t>
      </w:r>
      <w:r w:rsidR="00E13691">
        <w:t xml:space="preserve"> </w:t>
      </w:r>
      <w:r w:rsidRPr="00CC2B2C">
        <w:t>for</w:t>
      </w:r>
      <w:r w:rsidR="00014560">
        <w:t xml:space="preserve"> det </w:t>
      </w:r>
      <w:r w:rsidR="00014560" w:rsidRPr="00014560">
        <w:t>specialiserede</w:t>
      </w:r>
      <w:r w:rsidRPr="00CC2B2C">
        <w:t xml:space="preserve"> børne</w:t>
      </w:r>
      <w:r w:rsidR="00E13691">
        <w:t>- og unge</w:t>
      </w:r>
      <w:r w:rsidRPr="00CC2B2C">
        <w:t>området og voksenområdet</w:t>
      </w:r>
      <w:r w:rsidR="00E13691">
        <w:t>.</w:t>
      </w:r>
    </w:p>
    <w:p w:rsidR="00CC2B2C" w:rsidRPr="00CC2B2C" w:rsidRDefault="00CC2B2C" w:rsidP="00E13691">
      <w:r w:rsidRPr="00CC2B2C">
        <w:t>Standardkontrakterne er obligatoriske og skal derfor anvendes af kommunerne ved indgåelse af aftaler om køb og salg af pladser mellem kommuner indenfor Region Sjælland og ved køb af pladser fra private tilbud/udbydere. Det anbefales ligeledes, at standardkontrakterne anvendes ved indgåelse af aftaler om køb og salg mellem kommuner i Region Sjælland og ko</w:t>
      </w:r>
      <w:r w:rsidR="00E13691">
        <w:t>mmuner udenfor region Sjælland.</w:t>
      </w:r>
    </w:p>
    <w:p w:rsidR="006226CD" w:rsidRDefault="006226CD" w:rsidP="0011765E">
      <w:r>
        <w:t>Standardkontrak</w:t>
      </w:r>
      <w:r w:rsidR="00443F0D">
        <w:t>te</w:t>
      </w:r>
      <w:r w:rsidR="00E13691">
        <w:t>rne</w:t>
      </w:r>
      <w:r w:rsidR="00443F0D">
        <w:t xml:space="preserve"> skal bidrage til en styrket økonomistyring gennem tydeliggørelse for såvel køber som sælger af hvad det konkrete køb involverer af rettigheder og pligter for de to parter</w:t>
      </w:r>
      <w:r w:rsidR="006E5BA8">
        <w:t>. En tydeliggørelse heraf kan forhåbentlig samtidig bidrage til et bedre grundlag for samarbejdet omkring den enkelte sag.</w:t>
      </w:r>
    </w:p>
    <w:p w:rsidR="009B2C96" w:rsidRDefault="00E13691" w:rsidP="009B2C96">
      <w:r>
        <w:t>S</w:t>
      </w:r>
      <w:r w:rsidR="004633AC">
        <w:t>tandardkontrakt</w:t>
      </w:r>
      <w:r>
        <w:t>en</w:t>
      </w:r>
      <w:r w:rsidR="004633AC">
        <w:t xml:space="preserve"> for det specialiserede voksenområde tager udgangspunkt i terminologien fra Voksenudredningsmetoden (VUM)</w:t>
      </w:r>
      <w:r w:rsidR="009B2C96">
        <w:t>.</w:t>
      </w:r>
    </w:p>
    <w:p w:rsidR="0086083D" w:rsidRDefault="00014560" w:rsidP="009B2C96">
      <w:r>
        <w:t>Standardkontrakterne skal</w:t>
      </w:r>
      <w:r w:rsidR="00CA4A4D">
        <w:t xml:space="preserve"> anvendes i forhold til såvel døgn</w:t>
      </w:r>
      <w:r w:rsidR="0086083D">
        <w:t xml:space="preserve">tilbud som dagtilbud eller kombinationer heraf såfremt leverandøren for begge dele er den samme. </w:t>
      </w:r>
      <w:r w:rsidR="00CA4A4D">
        <w:t>Standardkontrakte</w:t>
      </w:r>
      <w:r>
        <w:t>rne</w:t>
      </w:r>
      <w:r w:rsidR="00CA4A4D">
        <w:t xml:space="preserve"> </w:t>
      </w:r>
      <w:r>
        <w:t>skal</w:t>
      </w:r>
      <w:r w:rsidR="00CA4A4D">
        <w:t xml:space="preserve"> yderligere anvendes i forhold til køb af både offentlige og private </w:t>
      </w:r>
      <w:r w:rsidR="00A100D0">
        <w:t xml:space="preserve">tilbud. </w:t>
      </w:r>
      <w:r w:rsidR="0086083D">
        <w:t xml:space="preserve">I de tilfælde, hvor </w:t>
      </w:r>
      <w:r w:rsidR="00875A60">
        <w:t>standardkontrakten alene anvendes i forhold til dagtilbud vil enkelte dele af kontrakten ikke være relevant. Disse dele kan således springes over såfremt begge parter er enig herom.</w:t>
      </w:r>
    </w:p>
    <w:p w:rsidR="0011765E" w:rsidRDefault="0011765E" w:rsidP="002A4F3F">
      <w:pPr>
        <w:pStyle w:val="Overskrift2"/>
      </w:pPr>
      <w:r>
        <w:t>Standardkontrakte</w:t>
      </w:r>
      <w:r w:rsidR="00014560">
        <w:t>rnes</w:t>
      </w:r>
      <w:r>
        <w:t xml:space="preserve"> forhold til styringsaftalen</w:t>
      </w:r>
    </w:p>
    <w:p w:rsidR="00A10613" w:rsidRDefault="00BF07BB" w:rsidP="0011765E">
      <w:r>
        <w:t>M</w:t>
      </w:r>
      <w:r w:rsidR="00A10613">
        <w:t>an kan ikke altid forudsætte, at køber er fuldt ud bekendt med den konkrete styringsaftale, som et tilbud er omfattet af, fx fordi køber kommer fra en anden region. Bl.a. derfor er der behov for at tydeliggøre</w:t>
      </w:r>
      <w:r w:rsidR="001A08E5">
        <w:t>, hvad der gælder vedr. fx betalingsfrister, opsigelsesvarsler, efterregulering ved lukning af pladser/tilbud mv.</w:t>
      </w:r>
      <w:r w:rsidR="004553AF">
        <w:t xml:space="preserve"> I de dele af </w:t>
      </w:r>
      <w:r w:rsidR="00A100D0">
        <w:t xml:space="preserve">kontrakten, der vedrører aftaler i </w:t>
      </w:r>
      <w:r w:rsidR="004553AF">
        <w:t>styringsaftalen forudsættes således alene indskrevet, hvad der i styringsaftalen er besluttet omkring de enkelte dele.</w:t>
      </w:r>
    </w:p>
    <w:p w:rsidR="00BF07BB" w:rsidRDefault="00386341" w:rsidP="0011765E">
      <w:r>
        <w:t>Standardkontrakten vil i modsætning til styringsaftalen udgøre et juridisk bindende grundlag for sam</w:t>
      </w:r>
      <w:r w:rsidR="00017A02">
        <w:t>arbejdet mellem to parter omkring et konkret køb. Særligt i forhold til køb og salg på tværs af regionsgrænser vil det være relevant at tydeliggøre betingelserne for det konkrete køb for begge parter, da styringsaftalen kun kan binde dens underskrivende parter</w:t>
      </w:r>
      <w:r w:rsidR="001D77DB">
        <w:t>.</w:t>
      </w:r>
    </w:p>
    <w:p w:rsidR="00BF07BB" w:rsidRDefault="00BF07BB">
      <w:pPr>
        <w:spacing w:after="0" w:line="240" w:lineRule="auto"/>
      </w:pPr>
      <w:r>
        <w:br w:type="page"/>
      </w:r>
    </w:p>
    <w:p w:rsidR="002A4F3F" w:rsidRDefault="008C698C" w:rsidP="0080112F">
      <w:pPr>
        <w:pStyle w:val="Overskrift2"/>
      </w:pPr>
      <w:r>
        <w:rPr>
          <w:noProof/>
          <w:lang w:eastAsia="da-DK"/>
        </w:rPr>
        <w:lastRenderedPageBreak/>
        <w:pict>
          <v:shapetype id="_x0000_t202" coordsize="21600,21600" o:spt="202" path="m,l,21600r21600,l21600,xe">
            <v:stroke joinstyle="miter"/>
            <v:path gradientshapeok="t" o:connecttype="rect"/>
          </v:shapetype>
          <v:shape id="_x0000_s1026" type="#_x0000_t202" style="position:absolute;margin-left:-7.35pt;margin-top:-25.7pt;width:99.35pt;height:17.4pt;z-index:251658240;mso-width-relative:margin;mso-height-relative:margin" filled="f" stroked="f">
            <v:textbox>
              <w:txbxContent>
                <w:p w:rsidR="009F5037" w:rsidRPr="007E274F" w:rsidRDefault="009F5037" w:rsidP="008874A7">
                  <w:pPr>
                    <w:rPr>
                      <w:color w:val="7F7F7F" w:themeColor="text1" w:themeTint="80"/>
                    </w:rPr>
                  </w:pPr>
                  <w:r w:rsidRPr="007E274F">
                    <w:rPr>
                      <w:color w:val="7F7F7F" w:themeColor="text1" w:themeTint="80"/>
                    </w:rPr>
                    <w:t>1. december 2013</w:t>
                  </w:r>
                </w:p>
              </w:txbxContent>
            </v:textbox>
          </v:shape>
        </w:pict>
      </w:r>
      <w:r w:rsidR="00C317F5">
        <w:t xml:space="preserve">Udfyldelse af standardkontraktens enkelte </w:t>
      </w:r>
      <w:r w:rsidR="00525BF5">
        <w:t>felter</w:t>
      </w:r>
    </w:p>
    <w:tbl>
      <w:tblPr>
        <w:tblStyle w:val="Tabel-Gitter"/>
        <w:tblW w:w="0" w:type="auto"/>
        <w:tblLook w:val="04A0"/>
      </w:tblPr>
      <w:tblGrid>
        <w:gridCol w:w="1983"/>
        <w:gridCol w:w="7871"/>
      </w:tblGrid>
      <w:tr w:rsidR="004622BB" w:rsidTr="00441E61">
        <w:tc>
          <w:tcPr>
            <w:tcW w:w="1982" w:type="dxa"/>
          </w:tcPr>
          <w:p w:rsidR="004622BB" w:rsidRPr="004622BB" w:rsidRDefault="004622BB" w:rsidP="00C317F5">
            <w:pPr>
              <w:rPr>
                <w:b/>
              </w:rPr>
            </w:pPr>
            <w:r w:rsidRPr="004622BB">
              <w:rPr>
                <w:b/>
              </w:rPr>
              <w:t>Borgeren</w:t>
            </w:r>
          </w:p>
        </w:tc>
        <w:tc>
          <w:tcPr>
            <w:tcW w:w="7872" w:type="dxa"/>
          </w:tcPr>
          <w:p w:rsidR="004622BB" w:rsidRDefault="004622BB" w:rsidP="00C317F5">
            <w:r>
              <w:t xml:space="preserve">Her angives navn og cpr.nr. på den visiterede borger, som </w:t>
            </w:r>
            <w:r w:rsidR="00501D46">
              <w:t>skal modtage den eller de ydelser, som kontrakten omhandler.</w:t>
            </w:r>
          </w:p>
        </w:tc>
      </w:tr>
      <w:tr w:rsidR="004622BB" w:rsidTr="00441E61">
        <w:tc>
          <w:tcPr>
            <w:tcW w:w="1982" w:type="dxa"/>
          </w:tcPr>
          <w:p w:rsidR="004622BB" w:rsidRPr="004622BB" w:rsidRDefault="00501D46" w:rsidP="00C317F5">
            <w:pPr>
              <w:rPr>
                <w:b/>
              </w:rPr>
            </w:pPr>
            <w:r>
              <w:rPr>
                <w:b/>
              </w:rPr>
              <w:t>Værgemål</w:t>
            </w:r>
          </w:p>
        </w:tc>
        <w:tc>
          <w:tcPr>
            <w:tcW w:w="7872" w:type="dxa"/>
          </w:tcPr>
          <w:p w:rsidR="004622BB" w:rsidRDefault="00501D46" w:rsidP="004F4385">
            <w:r>
              <w:t>Dette felt skal kun udfyldes, hvis borgeren har en værge. I så fald skal vær</w:t>
            </w:r>
            <w:r w:rsidR="00A100D0">
              <w:t>gemålets karakter beskrives</w:t>
            </w:r>
            <w:r w:rsidR="004F4385">
              <w:t>. Derudover skal oplyses navn samt relevante</w:t>
            </w:r>
            <w:r w:rsidR="008B1B34">
              <w:t xml:space="preserve"> kontaktinformationer for den visiterede borgers værge.</w:t>
            </w:r>
          </w:p>
        </w:tc>
      </w:tr>
      <w:tr w:rsidR="004622BB" w:rsidTr="00441E61">
        <w:tc>
          <w:tcPr>
            <w:tcW w:w="1982" w:type="dxa"/>
          </w:tcPr>
          <w:p w:rsidR="004622BB" w:rsidRPr="004622BB" w:rsidRDefault="008B1B34" w:rsidP="00C317F5">
            <w:pPr>
              <w:rPr>
                <w:b/>
              </w:rPr>
            </w:pPr>
            <w:r>
              <w:rPr>
                <w:b/>
              </w:rPr>
              <w:t>Handlekommune</w:t>
            </w:r>
          </w:p>
        </w:tc>
        <w:tc>
          <w:tcPr>
            <w:tcW w:w="7872" w:type="dxa"/>
          </w:tcPr>
          <w:p w:rsidR="004622BB" w:rsidRDefault="008B1B34" w:rsidP="00C317F5">
            <w:r>
              <w:t>Her oplyses relevante kontaktoplysninger for handlekommunen som myndighed</w:t>
            </w:r>
            <w:r w:rsidR="009576FA">
              <w:t>. Derudover forudsættes der i handlekommunen at være en kontaktperson i forhold til den visiterede borgers sag. Kontaktoplysninger på denne kontaktperson skal ligeledes oplyses.</w:t>
            </w:r>
          </w:p>
        </w:tc>
      </w:tr>
      <w:tr w:rsidR="004622BB" w:rsidTr="00441E61">
        <w:tc>
          <w:tcPr>
            <w:tcW w:w="1982" w:type="dxa"/>
          </w:tcPr>
          <w:p w:rsidR="004622BB" w:rsidRPr="004622BB" w:rsidRDefault="009576FA" w:rsidP="00C317F5">
            <w:pPr>
              <w:rPr>
                <w:b/>
              </w:rPr>
            </w:pPr>
            <w:r>
              <w:rPr>
                <w:b/>
              </w:rPr>
              <w:t>Betalingskommune</w:t>
            </w:r>
          </w:p>
        </w:tc>
        <w:tc>
          <w:tcPr>
            <w:tcW w:w="7872" w:type="dxa"/>
          </w:tcPr>
          <w:p w:rsidR="004622BB" w:rsidRDefault="000628F1" w:rsidP="00C317F5">
            <w:r>
              <w:t>Såfremt betalingskommunen er den samme som handlekommunen afkrydses det indledende afkrydsningsfelt. I så fald vil der ikke være behov for yderligere udfyldning af denne del af kontrakten.</w:t>
            </w:r>
          </w:p>
          <w:p w:rsidR="000628F1" w:rsidRDefault="000628F1" w:rsidP="007A66C1">
            <w:r>
              <w:t>Såfremt</w:t>
            </w:r>
            <w:r w:rsidR="007A66C1">
              <w:t xml:space="preserve"> betalingskommunen er en anden end handlekommunen oplyses ligesom for handlekommunen kontaktoplysninger på betalingskommunen som myndighed samt en kontaktperson </w:t>
            </w:r>
            <w:r w:rsidR="00326284">
              <w:t>i forhold til den konkrete sag i betalingskommunen.</w:t>
            </w:r>
            <w:r w:rsidR="007A66C1">
              <w:t xml:space="preserve"> </w:t>
            </w:r>
          </w:p>
        </w:tc>
      </w:tr>
      <w:tr w:rsidR="004622BB" w:rsidTr="00441E61">
        <w:tc>
          <w:tcPr>
            <w:tcW w:w="1982" w:type="dxa"/>
          </w:tcPr>
          <w:p w:rsidR="004622BB" w:rsidRPr="004622BB" w:rsidRDefault="00326284" w:rsidP="00C317F5">
            <w:pPr>
              <w:rPr>
                <w:b/>
              </w:rPr>
            </w:pPr>
            <w:r>
              <w:rPr>
                <w:b/>
              </w:rPr>
              <w:t>Leverandør</w:t>
            </w:r>
          </w:p>
        </w:tc>
        <w:tc>
          <w:tcPr>
            <w:tcW w:w="7872" w:type="dxa"/>
          </w:tcPr>
          <w:p w:rsidR="004622BB" w:rsidRDefault="00326284" w:rsidP="00C317F5">
            <w:r>
              <w:t xml:space="preserve">Indledningsvist angives ved afkrydsning, hvorvidt der er tale om en kommunal, </w:t>
            </w:r>
            <w:r w:rsidR="00BF07BB">
              <w:t>regionale</w:t>
            </w:r>
            <w:r>
              <w:t xml:space="preserve"> eller privat driftsherre. I tilknytning hertil oplyses </w:t>
            </w:r>
            <w:r w:rsidR="00E55414">
              <w:t xml:space="preserve">afhængigt af driftsherretypen EAN-nr. </w:t>
            </w:r>
            <w:r w:rsidR="00A100D0">
              <w:t>og/</w:t>
            </w:r>
            <w:r w:rsidR="00E55414">
              <w:t>eller CVR-nr.</w:t>
            </w:r>
          </w:p>
          <w:p w:rsidR="00E55414" w:rsidRDefault="00E55414" w:rsidP="00C317F5">
            <w:r>
              <w:t>Derudover oplyses relevante kontaktoplysninger for leverandøren, herunder for tilbuddet i sig selv, for en kontaktperson på tilbuddet samt en eventuel kontaktforvaltning, som tilbuddet hører under i den stedlige kommune.</w:t>
            </w:r>
          </w:p>
        </w:tc>
      </w:tr>
      <w:tr w:rsidR="004622BB" w:rsidTr="00441E61">
        <w:tc>
          <w:tcPr>
            <w:tcW w:w="1982" w:type="dxa"/>
          </w:tcPr>
          <w:p w:rsidR="004622BB" w:rsidRPr="004622BB" w:rsidRDefault="00145540" w:rsidP="00C317F5">
            <w:pPr>
              <w:rPr>
                <w:b/>
              </w:rPr>
            </w:pPr>
            <w:r>
              <w:rPr>
                <w:b/>
              </w:rPr>
              <w:t>Rammeaftalens styringsaftale</w:t>
            </w:r>
          </w:p>
        </w:tc>
        <w:tc>
          <w:tcPr>
            <w:tcW w:w="7872" w:type="dxa"/>
          </w:tcPr>
          <w:p w:rsidR="00A62103" w:rsidRDefault="00A62103" w:rsidP="00C317F5">
            <w:r>
              <w:t>Styringsaftalen i rammeaftalen kan indeholde aftaler, der har betydning for den konkrete kontrakt. Som udgangspunkt tager kontrakten afsæt i styringsaftalen, som leverandøren er en del af.</w:t>
            </w:r>
          </w:p>
          <w:p w:rsidR="004622BB" w:rsidRDefault="00FC5017" w:rsidP="00C317F5">
            <w:r>
              <w:t xml:space="preserve">Derfor </w:t>
            </w:r>
            <w:r w:rsidR="00145540">
              <w:t>angives</w:t>
            </w:r>
            <w:r>
              <w:t xml:space="preserve"> i dette felt </w:t>
            </w:r>
            <w:r w:rsidR="00145540">
              <w:t>ved afkrydsning, hvorvidt tilbuddet er omfattet af styringsaftalen i rammeaftalen for den region, hvori tilbuddet er beliggende</w:t>
            </w:r>
            <w:r w:rsidR="003319EB">
              <w:t>.</w:t>
            </w:r>
          </w:p>
          <w:p w:rsidR="005E49C1" w:rsidRDefault="003319EB" w:rsidP="00FC5017">
            <w:r>
              <w:t>Såfremt tilbuddet er omfattet af styringsaftalen angives for hvilken region.</w:t>
            </w:r>
            <w:r w:rsidR="005E49C1">
              <w:t xml:space="preserve"> Parterne kan eventuelt blive enige om, at vedlægge den konkrete styringsaftale som et bilag til kontrakten.</w:t>
            </w:r>
          </w:p>
        </w:tc>
      </w:tr>
      <w:tr w:rsidR="004622BB" w:rsidTr="00441E61">
        <w:tc>
          <w:tcPr>
            <w:tcW w:w="1982" w:type="dxa"/>
          </w:tcPr>
          <w:p w:rsidR="004622BB" w:rsidRPr="004622BB" w:rsidRDefault="00EE1B59" w:rsidP="00C317F5">
            <w:pPr>
              <w:rPr>
                <w:b/>
              </w:rPr>
            </w:pPr>
            <w:r>
              <w:rPr>
                <w:b/>
              </w:rPr>
              <w:t>Leverandørens ydelser og pris</w:t>
            </w:r>
          </w:p>
        </w:tc>
        <w:tc>
          <w:tcPr>
            <w:tcW w:w="7872" w:type="dxa"/>
          </w:tcPr>
          <w:p w:rsidR="00E064C4" w:rsidRDefault="00EE1B59" w:rsidP="00C317F5">
            <w:r>
              <w:t xml:space="preserve">Her beskrives hvilke ydelser kontrakten omfatter. </w:t>
            </w:r>
            <w:r w:rsidR="00E064C4">
              <w:t>Formålet er at gøre det klart for såvel køber som sælger, hvilke ydelser og deres omfang, der aftales.</w:t>
            </w:r>
          </w:p>
          <w:p w:rsidR="004622BB" w:rsidRDefault="009A4633" w:rsidP="00C317F5">
            <w:r>
              <w:t>Kontrakten kan omfatte en eller flere ydelser</w:t>
            </w:r>
            <w:r w:rsidR="002C4677">
              <w:t xml:space="preserve"> leveret af samme leverandør. </w:t>
            </w:r>
            <w:r w:rsidR="009A06E3">
              <w:t xml:space="preserve">Ydelserne </w:t>
            </w:r>
            <w:r w:rsidR="009A06E3">
              <w:lastRenderedPageBreak/>
              <w:t>kan være såvel pakker, der er sammensat af flere ydelser som forskellige enkeltstående ydelser.</w:t>
            </w:r>
            <w:r w:rsidR="00B62C09">
              <w:t xml:space="preserve"> Således kan selve botilbuddet eksempelvis være en ydelse, mens </w:t>
            </w:r>
            <w:r w:rsidR="00F92B4A">
              <w:t>eventuelle andre ydelser, som samme leverandør leverer, fx aktivitets- og samværstilbud, psykolog</w:t>
            </w:r>
            <w:r w:rsidR="00E064C4">
              <w:t xml:space="preserve">timer osv. </w:t>
            </w:r>
            <w:r w:rsidR="00F92B4A">
              <w:t>vil være supplerende ydelser</w:t>
            </w:r>
            <w:r w:rsidR="00E064C4">
              <w:t>.</w:t>
            </w:r>
          </w:p>
          <w:p w:rsidR="009A06E3" w:rsidRDefault="009A06E3" w:rsidP="00C317F5">
            <w:r>
              <w:t>For hver ydelse angives</w:t>
            </w:r>
            <w:r w:rsidR="00B62C09">
              <w:t xml:space="preserve"> følgende:</w:t>
            </w:r>
          </w:p>
          <w:p w:rsidR="00B62C09" w:rsidRDefault="00B62C09" w:rsidP="00B62C09">
            <w:pPr>
              <w:numPr>
                <w:ilvl w:val="0"/>
                <w:numId w:val="1"/>
              </w:numPr>
            </w:pPr>
            <w:r>
              <w:t>Ydelsens hjemmelsgrundlag angivet med lovhenvisning og paragraf</w:t>
            </w:r>
          </w:p>
          <w:p w:rsidR="00B62C09" w:rsidRDefault="00B62C09" w:rsidP="002F53B2">
            <w:pPr>
              <w:numPr>
                <w:ilvl w:val="0"/>
                <w:numId w:val="1"/>
              </w:numPr>
            </w:pPr>
            <w:r>
              <w:t>Ydelsens enhed</w:t>
            </w:r>
            <w:r w:rsidR="00D32750">
              <w:t>: Her angives</w:t>
            </w:r>
            <w:r w:rsidR="0013460A">
              <w:t>. hvordan man afregner den enkelte ydelse, fx pr. stk./gang, pr. time, dag, måned eller år</w:t>
            </w:r>
            <w:r w:rsidR="00F33657">
              <w:t xml:space="preserve">. </w:t>
            </w:r>
          </w:p>
          <w:p w:rsidR="002F53B2" w:rsidRDefault="002F53B2" w:rsidP="002F53B2">
            <w:pPr>
              <w:numPr>
                <w:ilvl w:val="0"/>
                <w:numId w:val="1"/>
              </w:numPr>
            </w:pPr>
            <w:r>
              <w:t>Ydelsens antal</w:t>
            </w:r>
            <w:r w:rsidR="000F43E5">
              <w:t>: Her angives</w:t>
            </w:r>
            <w:r>
              <w:t xml:space="preserve"> hvor mange enheder forudsættes ydelsen at omfatte, fx 5 psykologtimer pr. måned eller </w:t>
            </w:r>
            <w:r w:rsidR="00D32750">
              <w:t>1 botilbud pr. måned.</w:t>
            </w:r>
          </w:p>
          <w:p w:rsidR="00D32750" w:rsidRDefault="00D32750" w:rsidP="002F53B2">
            <w:pPr>
              <w:numPr>
                <w:ilvl w:val="0"/>
                <w:numId w:val="1"/>
              </w:numPr>
            </w:pPr>
            <w:r>
              <w:t>Ydelsens enhedspris</w:t>
            </w:r>
            <w:r w:rsidR="000F43E5">
              <w:t>: Her angives prisen for den valgte ydelsesenhed, fx XX kr. pr. måned eller XX kr. pr. time.</w:t>
            </w:r>
          </w:p>
          <w:p w:rsidR="000F43E5" w:rsidRDefault="000F43E5" w:rsidP="002F53B2">
            <w:pPr>
              <w:numPr>
                <w:ilvl w:val="0"/>
                <w:numId w:val="1"/>
              </w:numPr>
            </w:pPr>
            <w:r>
              <w:t>Ydelsens</w:t>
            </w:r>
            <w:r w:rsidR="00335BB5">
              <w:t xml:space="preserve"> startdato: Her angives datoen for opstart af leverandørens levering af den konkrete ydelse til den visiterede borger.</w:t>
            </w:r>
          </w:p>
          <w:p w:rsidR="00335BB5" w:rsidRDefault="00335BB5" w:rsidP="002F53B2">
            <w:pPr>
              <w:numPr>
                <w:ilvl w:val="0"/>
                <w:numId w:val="1"/>
              </w:numPr>
            </w:pPr>
            <w:r>
              <w:t>Ydelsens slutdato: Her angives datoen for afslutning af leverandørens levering af den konkrete ydelse til den visiterede borger. Der kan være forskellige slutdatoer for forskellige ydelser</w:t>
            </w:r>
            <w:r w:rsidR="003437CD">
              <w:t>.</w:t>
            </w:r>
          </w:p>
          <w:p w:rsidR="003437CD" w:rsidRDefault="003437CD" w:rsidP="002F53B2">
            <w:pPr>
              <w:numPr>
                <w:ilvl w:val="0"/>
                <w:numId w:val="1"/>
              </w:numPr>
            </w:pPr>
            <w:r>
              <w:t>Opfølgnings</w:t>
            </w:r>
            <w:r w:rsidR="0073658C">
              <w:t>interval/-</w:t>
            </w:r>
            <w:r>
              <w:t>dato: Her angives hvor ofte og eventuelt hvornår, der følges op på</w:t>
            </w:r>
            <w:r w:rsidR="009A4633">
              <w:t xml:space="preserve"> den konkrete ydelse i forhold til udviklingen i borgerens behov.</w:t>
            </w:r>
          </w:p>
          <w:p w:rsidR="002C4677" w:rsidRDefault="002C4677" w:rsidP="002C4677">
            <w:r>
              <w:t>Afslutningsvist angives den samlede pris</w:t>
            </w:r>
            <w:r w:rsidR="00C11794">
              <w:t xml:space="preserve"> for de ydelser, der er omfattet af kontrakten. Afhængigt af ydelsens karakter skal handlekommune og leverandør blive enige om, hvilken enhed den samlede pris skal oplyses i</w:t>
            </w:r>
            <w:r w:rsidR="00D12D08">
              <w:t>. Såfremt det grundet ydelsernes forskellighed ikke giver mening at lave en samlet pris for leverandørindsatsen kan parterne blive enige om at undlade denne opgørelse og alene basere kontrakten på priser oplyst for de enkelte ydelser.</w:t>
            </w:r>
          </w:p>
        </w:tc>
      </w:tr>
      <w:tr w:rsidR="004622BB" w:rsidTr="00441E61">
        <w:tc>
          <w:tcPr>
            <w:tcW w:w="1982" w:type="dxa"/>
          </w:tcPr>
          <w:p w:rsidR="004622BB" w:rsidRPr="004622BB" w:rsidRDefault="00224CB0" w:rsidP="00441E61">
            <w:pPr>
              <w:rPr>
                <w:b/>
              </w:rPr>
            </w:pPr>
            <w:r>
              <w:rPr>
                <w:b/>
              </w:rPr>
              <w:lastRenderedPageBreak/>
              <w:t>Uddybning af ydelsen</w:t>
            </w:r>
            <w:r w:rsidR="00441E61">
              <w:rPr>
                <w:b/>
              </w:rPr>
              <w:t>s indhold</w:t>
            </w:r>
          </w:p>
        </w:tc>
        <w:tc>
          <w:tcPr>
            <w:tcW w:w="7872" w:type="dxa"/>
          </w:tcPr>
          <w:p w:rsidR="004622BB" w:rsidRDefault="00224CB0" w:rsidP="0073658C">
            <w:r>
              <w:t>Såfremt parterne finder behov for at uddybe, hvad kontrakten omhandler, udover hvad der fremgår af feltet ’Leverandørens ydelser og pris</w:t>
            </w:r>
            <w:r w:rsidR="00F778CE">
              <w:t>’, kan det gøres her. Her kan fx uddybes</w:t>
            </w:r>
            <w:r w:rsidR="009B77C5">
              <w:t xml:space="preserve"> hvorvidt ydelsen og prisen omfatter fx ledsagelse til familie- og/el</w:t>
            </w:r>
            <w:r w:rsidR="0073658C">
              <w:t xml:space="preserve">ler lægebesøg, ferierejser, aftaler vedr. transport, hjælpemidler, pårørendeindsats og </w:t>
            </w:r>
            <w:r w:rsidR="009B77C5">
              <w:t xml:space="preserve">andre relevante </w:t>
            </w:r>
            <w:r w:rsidR="005F5A0B">
              <w:t>oplysninger om ydelsens indhold.</w:t>
            </w:r>
          </w:p>
        </w:tc>
      </w:tr>
      <w:tr w:rsidR="004622BB" w:rsidTr="00441E61">
        <w:tc>
          <w:tcPr>
            <w:tcW w:w="1982" w:type="dxa"/>
          </w:tcPr>
          <w:p w:rsidR="004622BB" w:rsidRPr="004622BB" w:rsidRDefault="005F5A0B" w:rsidP="00985BEF">
            <w:pPr>
              <w:rPr>
                <w:b/>
              </w:rPr>
            </w:pPr>
            <w:r>
              <w:rPr>
                <w:b/>
              </w:rPr>
              <w:t>§</w:t>
            </w:r>
            <w:r w:rsidR="00985BEF">
              <w:rPr>
                <w:b/>
              </w:rPr>
              <w:t>§ 140 og</w:t>
            </w:r>
            <w:r>
              <w:rPr>
                <w:b/>
              </w:rPr>
              <w:t xml:space="preserve"> 141</w:t>
            </w:r>
            <w:r w:rsidR="00985BEF">
              <w:rPr>
                <w:b/>
              </w:rPr>
              <w:t xml:space="preserve"> </w:t>
            </w:r>
            <w:r>
              <w:rPr>
                <w:b/>
              </w:rPr>
              <w:t xml:space="preserve">handleplaner og pædagogiske </w:t>
            </w:r>
            <w:r>
              <w:rPr>
                <w:b/>
              </w:rPr>
              <w:lastRenderedPageBreak/>
              <w:t>planer</w:t>
            </w:r>
            <w:r w:rsidR="00985BEF">
              <w:rPr>
                <w:b/>
              </w:rPr>
              <w:t xml:space="preserve"> (behandlingsplaner og individuelle planer)</w:t>
            </w:r>
          </w:p>
        </w:tc>
        <w:tc>
          <w:tcPr>
            <w:tcW w:w="7872" w:type="dxa"/>
          </w:tcPr>
          <w:p w:rsidR="004622BB" w:rsidRDefault="007E2504" w:rsidP="00C317F5">
            <w:r>
              <w:lastRenderedPageBreak/>
              <w:t>Formålet med kontraktens omfattede ydelser fremgår af handleplanen (jf. SEL §</w:t>
            </w:r>
            <w:r w:rsidR="00C525BA">
              <w:t>§ 140 og</w:t>
            </w:r>
            <w:r>
              <w:t xml:space="preserve"> 141) og/eller bestillingen(fx fra DHUV</w:t>
            </w:r>
            <w:r w:rsidR="00D10C76">
              <w:t xml:space="preserve"> (Digitalisering af handicap og udsatte voksne-området)</w:t>
            </w:r>
            <w:r>
              <w:t>)</w:t>
            </w:r>
            <w:r w:rsidR="009D18F8">
              <w:t>. Handlekommunen er an</w:t>
            </w:r>
            <w:r w:rsidR="00441E61">
              <w:t xml:space="preserve">svarlig for, at de relevante dele af </w:t>
            </w:r>
            <w:r w:rsidR="00441E61">
              <w:lastRenderedPageBreak/>
              <w:t>handleplanen og/</w:t>
            </w:r>
            <w:r w:rsidR="009D18F8">
              <w:t>eller bestillingen vedlægges kontrakten som bilag</w:t>
            </w:r>
            <w:r w:rsidR="00E120EC">
              <w:t>. Leverandørens ydelser skal leveres i overensstemmelse med målene i handleplanen/bestillingen.</w:t>
            </w:r>
          </w:p>
          <w:p w:rsidR="00E120EC" w:rsidRDefault="00E120EC" w:rsidP="009A2C76">
            <w:r>
              <w:t>I dett</w:t>
            </w:r>
            <w:r w:rsidR="0041224C">
              <w:t>e felt angives</w:t>
            </w:r>
            <w:r w:rsidR="00B85DD3">
              <w:t xml:space="preserve"> for det første hvornår leverandøren senest</w:t>
            </w:r>
            <w:r w:rsidR="00D10C76">
              <w:t xml:space="preserve"> fremsender den pædagogiske/individuelle plan</w:t>
            </w:r>
            <w:r w:rsidR="00B85DD3">
              <w:t xml:space="preserve"> for den samlede indsats over for den visiterede borger.</w:t>
            </w:r>
            <w:r w:rsidR="009A2C76">
              <w:t xml:space="preserve"> For det andet angives skriftligt, hvordan leverandøren orienterer handlekommunen ved eventuelle efterfølgende ændringer i den pædagogiske</w:t>
            </w:r>
            <w:r w:rsidR="00D10C76">
              <w:t>/individuelle</w:t>
            </w:r>
            <w:r w:rsidR="009A2C76">
              <w:t xml:space="preserve"> plan. </w:t>
            </w:r>
          </w:p>
        </w:tc>
      </w:tr>
      <w:tr w:rsidR="004622BB" w:rsidTr="00441E61">
        <w:tc>
          <w:tcPr>
            <w:tcW w:w="1982" w:type="dxa"/>
          </w:tcPr>
          <w:p w:rsidR="004622BB" w:rsidRPr="004622BB" w:rsidRDefault="00C4643F" w:rsidP="00C317F5">
            <w:pPr>
              <w:rPr>
                <w:b/>
              </w:rPr>
            </w:pPr>
            <w:r>
              <w:rPr>
                <w:b/>
              </w:rPr>
              <w:lastRenderedPageBreak/>
              <w:t>Egenbetaling</w:t>
            </w:r>
          </w:p>
        </w:tc>
        <w:tc>
          <w:tcPr>
            <w:tcW w:w="7872" w:type="dxa"/>
          </w:tcPr>
          <w:p w:rsidR="004622BB" w:rsidRDefault="00C4643F" w:rsidP="00C317F5">
            <w:r>
              <w:t xml:space="preserve">Her forudsættes ingen udfyldning. Feltet oplyser alene om grundlaget for den visiterede borgers eventuelle egenbetaling. </w:t>
            </w:r>
          </w:p>
        </w:tc>
      </w:tr>
      <w:tr w:rsidR="004622BB" w:rsidTr="00441E61">
        <w:tc>
          <w:tcPr>
            <w:tcW w:w="1982" w:type="dxa"/>
          </w:tcPr>
          <w:p w:rsidR="00D10C76" w:rsidRDefault="00A33EE6" w:rsidP="00C317F5">
            <w:pPr>
              <w:rPr>
                <w:b/>
              </w:rPr>
            </w:pPr>
            <w:r>
              <w:rPr>
                <w:b/>
              </w:rPr>
              <w:t>Afregningsfrister</w:t>
            </w:r>
            <w:r w:rsidR="00D10C76">
              <w:rPr>
                <w:b/>
              </w:rPr>
              <w:t>/</w:t>
            </w:r>
          </w:p>
          <w:p w:rsidR="004622BB" w:rsidRPr="004622BB" w:rsidRDefault="00D10C76" w:rsidP="00C317F5">
            <w:pPr>
              <w:rPr>
                <w:b/>
              </w:rPr>
            </w:pPr>
            <w:r>
              <w:rPr>
                <w:b/>
              </w:rPr>
              <w:t>Betalingsfrister</w:t>
            </w:r>
          </w:p>
        </w:tc>
        <w:tc>
          <w:tcPr>
            <w:tcW w:w="7872" w:type="dxa"/>
          </w:tcPr>
          <w:p w:rsidR="004622BB" w:rsidRDefault="004608D0" w:rsidP="00C317F5">
            <w:r>
              <w:t>Indledningsvist afkrydses, når kontraktens aftaler om afregningsfrister hviler på styringsaftalens aftaler herom jf. feltet ’</w:t>
            </w:r>
            <w:r w:rsidR="0023542F">
              <w:t>Rammeaftalens styringsaftale’.</w:t>
            </w:r>
          </w:p>
          <w:p w:rsidR="0023542F" w:rsidRDefault="0023542F" w:rsidP="00C317F5">
            <w:r>
              <w:t xml:space="preserve">I det følgende </w:t>
            </w:r>
            <w:r w:rsidR="00595C0D">
              <w:t>beskrives</w:t>
            </w:r>
            <w:r>
              <w:t xml:space="preserve"> de aftalte afregningsfrister, dvs. fristen for leverandørens fremsendelse af regninger samt frist for betalingskommunens betaling af fremsendte regninger. </w:t>
            </w:r>
            <w:r w:rsidR="00705BFF">
              <w:t xml:space="preserve">Fristerne bør </w:t>
            </w:r>
            <w:r w:rsidR="00906340">
              <w:t>beskrives</w:t>
            </w:r>
            <w:r w:rsidR="00705BFF">
              <w:t>, uanset om de er afledt af styringsaftalen</w:t>
            </w:r>
            <w:r w:rsidR="00614C12">
              <w:t>,</w:t>
            </w:r>
            <w:r w:rsidR="00705BFF">
              <w:t xml:space="preserve"> eller de er aftalt bilateralt, fordi tilbuddet ikke er omfattet af styringsaftalen.</w:t>
            </w:r>
          </w:p>
          <w:p w:rsidR="0069442D" w:rsidRDefault="0069442D" w:rsidP="00C317F5">
            <w:r>
              <w:t>Afslutningsvist skal der angives rammer for leverandørens muligheder ved betalingskommunens manglende betaling i overensstemmelse med de aftalte betalingsfrister.</w:t>
            </w:r>
          </w:p>
        </w:tc>
      </w:tr>
      <w:tr w:rsidR="004622BB" w:rsidTr="00441E61">
        <w:tc>
          <w:tcPr>
            <w:tcW w:w="1982" w:type="dxa"/>
          </w:tcPr>
          <w:p w:rsidR="004622BB" w:rsidRPr="004622BB" w:rsidRDefault="00075E76" w:rsidP="00C317F5">
            <w:pPr>
              <w:rPr>
                <w:b/>
              </w:rPr>
            </w:pPr>
            <w:r>
              <w:rPr>
                <w:b/>
              </w:rPr>
              <w:t>Opsigelsesvarsler</w:t>
            </w:r>
          </w:p>
        </w:tc>
        <w:tc>
          <w:tcPr>
            <w:tcW w:w="7872" w:type="dxa"/>
          </w:tcPr>
          <w:p w:rsidR="00075E76" w:rsidRDefault="00075E76" w:rsidP="00075E76">
            <w:r>
              <w:t>Indledningsvist afkrydses, når kontraktens aftaler om opsigelsesvarsler hviler på styringsaftalens aftaler herom jf. feltet ’Rammeaftalens styringsaftale’.</w:t>
            </w:r>
          </w:p>
          <w:p w:rsidR="001D732A" w:rsidRDefault="001D732A" w:rsidP="00075E76">
            <w:r>
              <w:t xml:space="preserve">I det følgende </w:t>
            </w:r>
            <w:r w:rsidR="00595C0D">
              <w:t>beskrives</w:t>
            </w:r>
            <w:r>
              <w:t xml:space="preserve"> de aftalte opsigelsesvarsler for hhv. leverandøren og handlekommunen. Opsigelsesvarslerne bør </w:t>
            </w:r>
            <w:r w:rsidR="00595C0D">
              <w:t>beskrives</w:t>
            </w:r>
            <w:r>
              <w:t>, uanset om de er afledt af styringsaftalen</w:t>
            </w:r>
            <w:r w:rsidR="00614C12">
              <w:t>,</w:t>
            </w:r>
            <w:r>
              <w:t xml:space="preserve"> eller de er aftalt bilateralt, fordi tilbuddet ikke er omfattet af styringsaftalen.</w:t>
            </w:r>
          </w:p>
          <w:p w:rsidR="00E8017C" w:rsidRDefault="002A4E0A" w:rsidP="00075E76">
            <w:r>
              <w:t xml:space="preserve">I forlængelse af aftalen om opsigelsesvarsler angives </w:t>
            </w:r>
            <w:r w:rsidR="00F80F2F">
              <w:t xml:space="preserve">ved afkrydsning </w:t>
            </w:r>
            <w:r>
              <w:t>aftalen om betalingsforpligtelsen for betalingskommunen i forbindelse med opsigelsen af en plads.</w:t>
            </w:r>
            <w:r w:rsidR="00C901EE">
              <w:t xml:space="preserve"> I forlængelse heraf anføres derudover vilkår for leverandørens ageren efter </w:t>
            </w:r>
            <w:r w:rsidR="006C69EA">
              <w:t>opsigelsen af en ydelse. Opsigelsesvarslerne gælder således både for den samlede kontrakt, men kan også gælde for opsigelse vedr. enkelte ydelser i kontrakten</w:t>
            </w:r>
            <w:r w:rsidR="00224B81">
              <w:t>, såfremt kontrakten omfatter flere udspecificerede ydelser.</w:t>
            </w:r>
          </w:p>
          <w:p w:rsidR="00224B81" w:rsidRDefault="00224B81" w:rsidP="00075E76">
            <w:r>
              <w:t>Hvis tilbuddet er omfattet af lov om leje af almene boliger, gælder der særlige regler vedrørende lejemålet, hvor lejelovens betingelser for opsigelse skal iagttages.</w:t>
            </w:r>
          </w:p>
          <w:p w:rsidR="004622BB" w:rsidRDefault="00224B81" w:rsidP="00947AE1">
            <w:r>
              <w:t xml:space="preserve">Hvis tilbuddet er omfattet af servicelovens § 108 gælder der særlige regler vedrørende </w:t>
            </w:r>
            <w:r w:rsidR="00947AE1">
              <w:t xml:space="preserve">opsigelse af boligen overfor borgeren, som er fastsat i bekendtgørelsen </w:t>
            </w:r>
            <w:r w:rsidR="00947AE1">
              <w:lastRenderedPageBreak/>
              <w:t>om boligdokument mv. Disse regler skal iagttages.</w:t>
            </w:r>
          </w:p>
        </w:tc>
      </w:tr>
      <w:tr w:rsidR="004622BB" w:rsidTr="007E274F">
        <w:trPr>
          <w:trHeight w:val="1019"/>
        </w:trPr>
        <w:tc>
          <w:tcPr>
            <w:tcW w:w="1982" w:type="dxa"/>
          </w:tcPr>
          <w:p w:rsidR="004622BB" w:rsidRDefault="00947AE1" w:rsidP="005F0177">
            <w:pPr>
              <w:rPr>
                <w:b/>
              </w:rPr>
            </w:pPr>
            <w:r>
              <w:rPr>
                <w:b/>
              </w:rPr>
              <w:lastRenderedPageBreak/>
              <w:t>Opfølgning og revisitation</w:t>
            </w:r>
          </w:p>
          <w:p w:rsidR="005F0177" w:rsidRPr="005F0177" w:rsidRDefault="005F0177" w:rsidP="005F0177">
            <w:pPr>
              <w:rPr>
                <w:b/>
                <w:color w:val="FF0000"/>
              </w:rPr>
            </w:pPr>
            <w:r w:rsidRPr="005F0177">
              <w:rPr>
                <w:b/>
                <w:color w:val="FF0000"/>
              </w:rPr>
              <w:t>(kun BU)</w:t>
            </w:r>
          </w:p>
        </w:tc>
        <w:tc>
          <w:tcPr>
            <w:tcW w:w="7872" w:type="dxa"/>
          </w:tcPr>
          <w:p w:rsidR="004622BB" w:rsidRDefault="00481D53" w:rsidP="00C317F5">
            <w:r>
              <w:t xml:space="preserve">Feltet skal ikke udfyldes. Feltet beskriver alene generelle gensidige forpligtelser for handlekommunen og leverandøren om udveksling af </w:t>
            </w:r>
            <w:r w:rsidR="00BA1915">
              <w:t>oplysninger i tilfælde af ændringer i borgerens situation, som giver anledning til justering af indsatsen.</w:t>
            </w:r>
          </w:p>
        </w:tc>
      </w:tr>
      <w:tr w:rsidR="004622BB" w:rsidTr="00441E61">
        <w:tc>
          <w:tcPr>
            <w:tcW w:w="1982" w:type="dxa"/>
          </w:tcPr>
          <w:p w:rsidR="004622BB" w:rsidRPr="004622BB" w:rsidRDefault="00C62457" w:rsidP="00C317F5">
            <w:pPr>
              <w:rPr>
                <w:b/>
              </w:rPr>
            </w:pPr>
            <w:r>
              <w:rPr>
                <w:b/>
              </w:rPr>
              <w:t>Samarbejde og ansvar</w:t>
            </w:r>
          </w:p>
        </w:tc>
        <w:tc>
          <w:tcPr>
            <w:tcW w:w="7872" w:type="dxa"/>
          </w:tcPr>
          <w:p w:rsidR="004622BB" w:rsidRDefault="00D97712" w:rsidP="00C317F5">
            <w:r>
              <w:t>Feltet skal ikke udfyldes. Feltet beskriver alene generelle forpligtelser for parterne knyttet til deres samarbejde og ansvar.</w:t>
            </w:r>
          </w:p>
        </w:tc>
      </w:tr>
      <w:tr w:rsidR="004622BB" w:rsidTr="00441E61">
        <w:tc>
          <w:tcPr>
            <w:tcW w:w="1982" w:type="dxa"/>
          </w:tcPr>
          <w:p w:rsidR="004622BB" w:rsidRPr="004622BB" w:rsidRDefault="0020602C" w:rsidP="00C317F5">
            <w:pPr>
              <w:rPr>
                <w:b/>
              </w:rPr>
            </w:pPr>
            <w:r>
              <w:rPr>
                <w:b/>
              </w:rPr>
              <w:t>Efterregulering ved lukning af pladser/tilbud</w:t>
            </w:r>
          </w:p>
        </w:tc>
        <w:tc>
          <w:tcPr>
            <w:tcW w:w="7872" w:type="dxa"/>
          </w:tcPr>
          <w:p w:rsidR="0020602C" w:rsidRDefault="0020602C" w:rsidP="0020602C">
            <w:r>
              <w:t>Indledningsvist afkrydses, når kontraktens aftaler om efterregulering ved eventuel lukning af pladser/tilbud hviler på styringsaftalens aftaler herom jf. feltet ’Rammeaftalens styringsaftale’.</w:t>
            </w:r>
          </w:p>
          <w:p w:rsidR="004622BB" w:rsidRDefault="0020602C" w:rsidP="00595C0D">
            <w:r>
              <w:t xml:space="preserve">I det følgende </w:t>
            </w:r>
            <w:r w:rsidR="00595C0D">
              <w:t xml:space="preserve">beskrives </w:t>
            </w:r>
            <w:r>
              <w:t>de</w:t>
            </w:r>
            <w:r w:rsidR="005D0900">
              <w:t>n</w:t>
            </w:r>
            <w:r>
              <w:t xml:space="preserve"> aftalte </w:t>
            </w:r>
            <w:r w:rsidR="005D0900">
              <w:t>efterreguleringsforpligtelse for betalingskommunen. Efterreguleringsforpligtelsen</w:t>
            </w:r>
            <w:r>
              <w:t xml:space="preserve"> bør </w:t>
            </w:r>
            <w:r w:rsidR="00595C0D">
              <w:t>beskrives</w:t>
            </w:r>
            <w:r>
              <w:t>, uanset om de</w:t>
            </w:r>
            <w:r w:rsidR="00595C0D">
              <w:t>n</w:t>
            </w:r>
            <w:r>
              <w:t xml:space="preserve"> er afledt af styringsaftalen, eller de</w:t>
            </w:r>
            <w:r w:rsidR="00595C0D">
              <w:t>n</w:t>
            </w:r>
            <w:r>
              <w:t xml:space="preserve"> er aftalt bilateralt, fordi tilbuddet ikke er omfattet af styringsaftalen.</w:t>
            </w:r>
          </w:p>
          <w:p w:rsidR="009F5037" w:rsidRDefault="005F0177" w:rsidP="00595C0D">
            <w:r>
              <w:t>Ved lukning af pladser/tilbud foretages efterregulering i henhold til styringsaftalen indgået mellem kommunerne i region Sjælland og Region Sjælland.</w:t>
            </w:r>
          </w:p>
        </w:tc>
      </w:tr>
      <w:tr w:rsidR="004622BB" w:rsidTr="00441E61">
        <w:tc>
          <w:tcPr>
            <w:tcW w:w="1982" w:type="dxa"/>
          </w:tcPr>
          <w:p w:rsidR="004622BB" w:rsidRPr="004622BB" w:rsidRDefault="00595C0D" w:rsidP="00C317F5">
            <w:pPr>
              <w:rPr>
                <w:b/>
              </w:rPr>
            </w:pPr>
            <w:r>
              <w:rPr>
                <w:b/>
              </w:rPr>
              <w:t>Forsikringsforhold</w:t>
            </w:r>
          </w:p>
        </w:tc>
        <w:tc>
          <w:tcPr>
            <w:tcW w:w="7872" w:type="dxa"/>
          </w:tcPr>
          <w:p w:rsidR="004622BB" w:rsidRDefault="00906340" w:rsidP="00C317F5">
            <w:r>
              <w:t>I dette felt afkrydses hvilke forsikringer med betydning for borgerens ophold/deltagelse i tilbuddet</w:t>
            </w:r>
            <w:r w:rsidR="007E50C4">
              <w:t>, der er tegnet af hhv. leverandøren og borgeren.</w:t>
            </w:r>
          </w:p>
          <w:p w:rsidR="007E50C4" w:rsidRDefault="007E50C4" w:rsidP="00C317F5">
            <w:r>
              <w:t xml:space="preserve">Feltet har til formål at tydeliggøre, hvilke forsikringer, der er tegnet. Feltet </w:t>
            </w:r>
            <w:r w:rsidR="00DD0973">
              <w:t>kan derimod ikke bruges til at pålægge enten borgeren eller leverandøren at tegne forskellige forsikringer.</w:t>
            </w:r>
          </w:p>
        </w:tc>
      </w:tr>
      <w:tr w:rsidR="004622BB" w:rsidTr="00441E61">
        <w:tc>
          <w:tcPr>
            <w:tcW w:w="1982" w:type="dxa"/>
          </w:tcPr>
          <w:p w:rsidR="004622BB" w:rsidRPr="004622BB" w:rsidRDefault="00DD0973" w:rsidP="00C317F5">
            <w:pPr>
              <w:rPr>
                <w:b/>
              </w:rPr>
            </w:pPr>
            <w:r>
              <w:rPr>
                <w:b/>
              </w:rPr>
              <w:t>Tilsyn</w:t>
            </w:r>
          </w:p>
        </w:tc>
        <w:tc>
          <w:tcPr>
            <w:tcW w:w="7872" w:type="dxa"/>
          </w:tcPr>
          <w:p w:rsidR="004622BB" w:rsidRDefault="00DD0973" w:rsidP="00C317F5">
            <w:r>
              <w:t>Såfremt kontraktens ydelser er omfattet af reglerne om tilsyn på sociale tilbud beskrives i dette felt</w:t>
            </w:r>
            <w:r w:rsidR="00237487">
              <w:t>, hvem der er ansvarlig for at føre hhv. det driftsorienterede tilbud med tilbuddet og det personrettede tilsyn med borgeren.</w:t>
            </w:r>
          </w:p>
        </w:tc>
      </w:tr>
      <w:tr w:rsidR="004622BB" w:rsidTr="00441E61">
        <w:tc>
          <w:tcPr>
            <w:tcW w:w="1982" w:type="dxa"/>
          </w:tcPr>
          <w:p w:rsidR="004622BB" w:rsidRPr="004622BB" w:rsidRDefault="00237487" w:rsidP="00C317F5">
            <w:pPr>
              <w:rPr>
                <w:b/>
              </w:rPr>
            </w:pPr>
            <w:r>
              <w:rPr>
                <w:b/>
              </w:rPr>
              <w:t>Forvaltningsretlige krav</w:t>
            </w:r>
          </w:p>
        </w:tc>
        <w:tc>
          <w:tcPr>
            <w:tcW w:w="7872" w:type="dxa"/>
          </w:tcPr>
          <w:p w:rsidR="004622BB" w:rsidRDefault="007E250B" w:rsidP="00C317F5">
            <w:r>
              <w:t>Feltet skal ikke udfyldes. Feltet beskriver alene hvilke forvaltningsretlige krav kontrakten er underlagt og skal ses i forhold til.</w:t>
            </w:r>
          </w:p>
        </w:tc>
      </w:tr>
      <w:tr w:rsidR="004622BB" w:rsidTr="00441E61">
        <w:tc>
          <w:tcPr>
            <w:tcW w:w="1982" w:type="dxa"/>
          </w:tcPr>
          <w:p w:rsidR="004622BB" w:rsidRPr="004622BB" w:rsidRDefault="00FB48F2" w:rsidP="00C317F5">
            <w:pPr>
              <w:rPr>
                <w:b/>
              </w:rPr>
            </w:pPr>
            <w:r>
              <w:rPr>
                <w:b/>
              </w:rPr>
              <w:t>Genforhandling</w:t>
            </w:r>
          </w:p>
        </w:tc>
        <w:tc>
          <w:tcPr>
            <w:tcW w:w="7872" w:type="dxa"/>
          </w:tcPr>
          <w:p w:rsidR="004622BB" w:rsidRDefault="00A16995" w:rsidP="00A16995">
            <w:r>
              <w:t>Feltet skal ikke udfyldes. Feltet beskriver alene de generelle vilkår for genforhandling af</w:t>
            </w:r>
            <w:r w:rsidR="00D402EC">
              <w:t xml:space="preserve"> kontrakten, som handlekommunen og leverandøren er underlagt</w:t>
            </w:r>
            <w:r>
              <w:t>.</w:t>
            </w:r>
          </w:p>
        </w:tc>
      </w:tr>
      <w:tr w:rsidR="004622BB" w:rsidTr="00441E61">
        <w:tc>
          <w:tcPr>
            <w:tcW w:w="1982" w:type="dxa"/>
          </w:tcPr>
          <w:p w:rsidR="004622BB" w:rsidRPr="004622BB" w:rsidRDefault="00FB48F2" w:rsidP="00C317F5">
            <w:pPr>
              <w:rPr>
                <w:b/>
              </w:rPr>
            </w:pPr>
            <w:r>
              <w:rPr>
                <w:b/>
              </w:rPr>
              <w:t>Bilag</w:t>
            </w:r>
          </w:p>
        </w:tc>
        <w:tc>
          <w:tcPr>
            <w:tcW w:w="7872" w:type="dxa"/>
          </w:tcPr>
          <w:p w:rsidR="004622BB" w:rsidRDefault="00D402EC" w:rsidP="00C317F5">
            <w:r>
              <w:t xml:space="preserve">Her </w:t>
            </w:r>
            <w:r w:rsidR="00D15119">
              <w:t>beskrives hvilke bilag, der vedlægges kontrakten. For de mest almindelige bilag er der afkrydsningsmuligheder, mens øvrige bilag, som parterne er enige om at vedlægge kontrakten kan beskrives af parterne.</w:t>
            </w:r>
          </w:p>
        </w:tc>
      </w:tr>
      <w:tr w:rsidR="004622BB" w:rsidTr="00441E61">
        <w:tc>
          <w:tcPr>
            <w:tcW w:w="1982" w:type="dxa"/>
          </w:tcPr>
          <w:p w:rsidR="004622BB" w:rsidRPr="004622BB" w:rsidRDefault="00FB48F2" w:rsidP="00C317F5">
            <w:pPr>
              <w:rPr>
                <w:b/>
              </w:rPr>
            </w:pPr>
            <w:r>
              <w:rPr>
                <w:b/>
              </w:rPr>
              <w:t>Samtykke</w:t>
            </w:r>
          </w:p>
        </w:tc>
        <w:tc>
          <w:tcPr>
            <w:tcW w:w="7872" w:type="dxa"/>
          </w:tcPr>
          <w:p w:rsidR="004622BB" w:rsidRDefault="004105FA" w:rsidP="005F0177">
            <w:r>
              <w:t>Feltet beskriver generelle forpligtelse</w:t>
            </w:r>
            <w:r w:rsidR="00671A4C">
              <w:t xml:space="preserve"> til at respektere </w:t>
            </w:r>
            <w:r w:rsidR="00DB478E">
              <w:t xml:space="preserve">relevante </w:t>
            </w:r>
            <w:r w:rsidR="00671A4C">
              <w:t xml:space="preserve">regler om samtykke </w:t>
            </w:r>
            <w:r w:rsidR="00671A4C">
              <w:lastRenderedPageBreak/>
              <w:t>fra borgeren</w:t>
            </w:r>
            <w:r>
              <w:t>.</w:t>
            </w:r>
            <w:r w:rsidR="005F0177">
              <w:t xml:space="preserve"> Det aftales hvem der indhenter samtykke.</w:t>
            </w:r>
          </w:p>
        </w:tc>
      </w:tr>
      <w:tr w:rsidR="00FB48F2" w:rsidTr="00441E61">
        <w:tc>
          <w:tcPr>
            <w:tcW w:w="1982" w:type="dxa"/>
          </w:tcPr>
          <w:p w:rsidR="00FB48F2" w:rsidRPr="004622BB" w:rsidRDefault="00FB48F2" w:rsidP="00C317F5">
            <w:pPr>
              <w:rPr>
                <w:b/>
              </w:rPr>
            </w:pPr>
            <w:r>
              <w:rPr>
                <w:b/>
              </w:rPr>
              <w:lastRenderedPageBreak/>
              <w:t>Kontraktperiode</w:t>
            </w:r>
          </w:p>
        </w:tc>
        <w:tc>
          <w:tcPr>
            <w:tcW w:w="7872" w:type="dxa"/>
          </w:tcPr>
          <w:p w:rsidR="00FB48F2" w:rsidRDefault="00DB478E" w:rsidP="00C317F5">
            <w:r>
              <w:t>Her beskrives start- og slutdato for den samlede kontrakt.</w:t>
            </w:r>
          </w:p>
          <w:p w:rsidR="00DB478E" w:rsidRDefault="00DB478E" w:rsidP="00A64218">
            <w:r>
              <w:t>De konkrete ydelser kan have start- og slutdatoer, der afviger herfra</w:t>
            </w:r>
            <w:r w:rsidR="00B40F37">
              <w:t>, fx hvis en enkelt ydelse er aftalt til at slutte før øvrige ydelser omfattet af kontrakten. Slutdatoen for kontrakt</w:t>
            </w:r>
            <w:r w:rsidR="00A64218">
              <w:t>period</w:t>
            </w:r>
            <w:r w:rsidR="00B40F37">
              <w:t>en angiver således, hvornår der s</w:t>
            </w:r>
            <w:r w:rsidR="00A64218">
              <w:t xml:space="preserve">enest skal ske en eventuel genforhandling </w:t>
            </w:r>
            <w:r w:rsidR="00B40F37">
              <w:t xml:space="preserve">af </w:t>
            </w:r>
            <w:r w:rsidR="00A64218">
              <w:t xml:space="preserve">den samlede </w:t>
            </w:r>
            <w:r w:rsidR="00B40F37">
              <w:t>kontrakt</w:t>
            </w:r>
            <w:r w:rsidR="00A64218">
              <w:t>.</w:t>
            </w:r>
          </w:p>
        </w:tc>
      </w:tr>
      <w:tr w:rsidR="00FB48F2" w:rsidTr="00441E61">
        <w:tc>
          <w:tcPr>
            <w:tcW w:w="1982" w:type="dxa"/>
          </w:tcPr>
          <w:p w:rsidR="00FB48F2" w:rsidRPr="004622BB" w:rsidRDefault="00FB48F2" w:rsidP="00C317F5">
            <w:pPr>
              <w:rPr>
                <w:b/>
              </w:rPr>
            </w:pPr>
            <w:r>
              <w:rPr>
                <w:b/>
              </w:rPr>
              <w:t>Underskrifter</w:t>
            </w:r>
          </w:p>
        </w:tc>
        <w:tc>
          <w:tcPr>
            <w:tcW w:w="7872" w:type="dxa"/>
          </w:tcPr>
          <w:p w:rsidR="00FB48F2" w:rsidRDefault="00A64218" w:rsidP="00C317F5">
            <w:r>
              <w:t>Her angives underskrift og dato herfor fra kontraktens ansvarlige parter, dvs. handlekommunen og leverandøren.</w:t>
            </w:r>
          </w:p>
        </w:tc>
      </w:tr>
    </w:tbl>
    <w:p w:rsidR="00C317F5" w:rsidRPr="00C317F5" w:rsidRDefault="00C317F5" w:rsidP="00C317F5"/>
    <w:sectPr w:rsidR="00C317F5" w:rsidRPr="00C317F5" w:rsidSect="008874A7">
      <w:headerReference w:type="default" r:id="rId7"/>
      <w:footerReference w:type="default" r:id="rId8"/>
      <w:headerReference w:type="first" r:id="rId9"/>
      <w:pgSz w:w="11906" w:h="16838"/>
      <w:pgMar w:top="1701" w:right="1134" w:bottom="170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037" w:rsidRDefault="009F5037" w:rsidP="001026AF">
      <w:pPr>
        <w:spacing w:after="0" w:line="240" w:lineRule="auto"/>
      </w:pPr>
      <w:r>
        <w:separator/>
      </w:r>
    </w:p>
  </w:endnote>
  <w:endnote w:type="continuationSeparator" w:id="0">
    <w:p w:rsidR="009F5037" w:rsidRDefault="009F5037" w:rsidP="001026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37" w:rsidRDefault="009F5037">
    <w:pPr>
      <w:pStyle w:val="Sidefod"/>
      <w:jc w:val="right"/>
    </w:pPr>
    <w:r>
      <w:t xml:space="preserve">Side </w:t>
    </w:r>
    <w:sdt>
      <w:sdtPr>
        <w:id w:val="5636317"/>
        <w:docPartObj>
          <w:docPartGallery w:val="Page Numbers (Bottom of Page)"/>
          <w:docPartUnique/>
        </w:docPartObj>
      </w:sdtPr>
      <w:sdtContent>
        <w:fldSimple w:instr=" PAGE   \* MERGEFORMAT ">
          <w:r w:rsidR="006A69FE">
            <w:rPr>
              <w:noProof/>
            </w:rPr>
            <w:t>6</w:t>
          </w:r>
        </w:fldSimple>
      </w:sdtContent>
    </w:sdt>
  </w:p>
  <w:p w:rsidR="009F5037" w:rsidRDefault="009F5037">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037" w:rsidRDefault="009F5037" w:rsidP="001026AF">
      <w:pPr>
        <w:spacing w:after="0" w:line="240" w:lineRule="auto"/>
      </w:pPr>
      <w:r>
        <w:separator/>
      </w:r>
    </w:p>
  </w:footnote>
  <w:footnote w:type="continuationSeparator" w:id="0">
    <w:p w:rsidR="009F5037" w:rsidRDefault="009F5037" w:rsidP="001026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37" w:rsidRDefault="009F5037" w:rsidP="00CC2B2C">
    <w:pPr>
      <w:pStyle w:val="Sidehoved"/>
      <w:tabs>
        <w:tab w:val="clear" w:pos="9638"/>
        <w:tab w:val="right" w:pos="10080"/>
      </w:tabs>
      <w:ind w:right="-567"/>
    </w:pPr>
    <w:r>
      <w:rPr>
        <w:rFonts w:ascii="Georgia" w:hAnsi="Georgia"/>
      </w:rPr>
      <w:tab/>
    </w:r>
    <w:r>
      <w:rPr>
        <w:rFonts w:ascii="Georgia" w:hAnsi="Georgia"/>
      </w:rPr>
      <w:tab/>
    </w:r>
    <w:r>
      <w:rPr>
        <w:rFonts w:ascii="Georgia" w:hAnsi="Georgia"/>
        <w:noProof/>
        <w:lang w:eastAsia="da-DK"/>
      </w:rPr>
      <w:drawing>
        <wp:inline distT="0" distB="0" distL="0" distR="0">
          <wp:extent cx="1767840" cy="929640"/>
          <wp:effectExtent l="19050" t="0" r="3810" b="0"/>
          <wp:docPr id="2" name="Billede 1" descr="C:\REGSJ_TEMPLATES\Word\Logo\Regionsh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GSJ_TEMPLATES\Word\Logo\Regionshus.jpg"/>
                  <pic:cNvPicPr>
                    <a:picLocks noChangeAspect="1" noChangeArrowheads="1"/>
                  </pic:cNvPicPr>
                </pic:nvPicPr>
                <pic:blipFill>
                  <a:blip r:embed="rId1"/>
                  <a:srcRect/>
                  <a:stretch>
                    <a:fillRect/>
                  </a:stretch>
                </pic:blipFill>
                <pic:spPr bwMode="auto">
                  <a:xfrm>
                    <a:off x="0" y="0"/>
                    <a:ext cx="1767840" cy="929640"/>
                  </a:xfrm>
                  <a:prstGeom prst="rect">
                    <a:avLst/>
                  </a:prstGeom>
                  <a:noFill/>
                  <a:ln w="9525">
                    <a:noFill/>
                    <a:miter lim="800000"/>
                    <a:headEnd/>
                    <a:tailEnd/>
                  </a:ln>
                </pic:spPr>
              </pic:pic>
            </a:graphicData>
          </a:graphic>
        </wp:inline>
      </w:drawing>
    </w:r>
  </w:p>
  <w:p w:rsidR="009F5037" w:rsidRDefault="009F5037" w:rsidP="00CC2B2C">
    <w:pPr>
      <w:pStyle w:val="Sidehoved"/>
      <w:tabs>
        <w:tab w:val="clear" w:pos="9638"/>
        <w:tab w:val="right" w:pos="10080"/>
      </w:tabs>
      <w:ind w:right="-567"/>
      <w:jc w:val="right"/>
      <w:rPr>
        <w:rFonts w:ascii="Georgia" w:hAnsi="Georg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37" w:rsidRDefault="009F5037" w:rsidP="008874A7">
    <w:pPr>
      <w:pStyle w:val="Sidehoved"/>
      <w:numPr>
        <w:ilvl w:val="0"/>
        <w:numId w:val="4"/>
      </w:numPr>
      <w:tabs>
        <w:tab w:val="left" w:pos="142"/>
      </w:tabs>
      <w:ind w:left="284" w:hanging="284"/>
    </w:pPr>
    <w:r>
      <w:t>december 2013</w:t>
    </w:r>
    <w:r>
      <w:tab/>
    </w:r>
    <w:r>
      <w:tab/>
    </w:r>
    <w:r w:rsidRPr="008874A7">
      <w:rPr>
        <w:noProof/>
        <w:lang w:eastAsia="da-DK"/>
      </w:rPr>
      <w:drawing>
        <wp:inline distT="0" distB="0" distL="0" distR="0">
          <wp:extent cx="1767840" cy="929640"/>
          <wp:effectExtent l="19050" t="0" r="3810" b="0"/>
          <wp:docPr id="1" name="Billede 1" descr="C:\REGSJ_TEMPLATES\Word\Logo\Regionsh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GSJ_TEMPLATES\Word\Logo\Regionshus.jpg"/>
                  <pic:cNvPicPr>
                    <a:picLocks noChangeAspect="1" noChangeArrowheads="1"/>
                  </pic:cNvPicPr>
                </pic:nvPicPr>
                <pic:blipFill>
                  <a:blip r:embed="rId1"/>
                  <a:srcRect/>
                  <a:stretch>
                    <a:fillRect/>
                  </a:stretch>
                </pic:blipFill>
                <pic:spPr bwMode="auto">
                  <a:xfrm>
                    <a:off x="0" y="0"/>
                    <a:ext cx="1767840" cy="9296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9713B"/>
    <w:multiLevelType w:val="hybridMultilevel"/>
    <w:tmpl w:val="7B82A70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70331281"/>
    <w:multiLevelType w:val="hybridMultilevel"/>
    <w:tmpl w:val="874AA10C"/>
    <w:lvl w:ilvl="0" w:tplc="FE409C8E">
      <w:start w:val="1"/>
      <w:numFmt w:val="decimal"/>
      <w:lvlText w:val="%1."/>
      <w:lvlJc w:val="left"/>
      <w:pPr>
        <w:ind w:left="2388" w:hanging="360"/>
      </w:pPr>
      <w:rPr>
        <w:rFonts w:hint="default"/>
      </w:rPr>
    </w:lvl>
    <w:lvl w:ilvl="1" w:tplc="04060019" w:tentative="1">
      <w:start w:val="1"/>
      <w:numFmt w:val="lowerLetter"/>
      <w:lvlText w:val="%2."/>
      <w:lvlJc w:val="left"/>
      <w:pPr>
        <w:ind w:left="3108" w:hanging="360"/>
      </w:pPr>
    </w:lvl>
    <w:lvl w:ilvl="2" w:tplc="0406001B" w:tentative="1">
      <w:start w:val="1"/>
      <w:numFmt w:val="lowerRoman"/>
      <w:lvlText w:val="%3."/>
      <w:lvlJc w:val="right"/>
      <w:pPr>
        <w:ind w:left="3828" w:hanging="180"/>
      </w:pPr>
    </w:lvl>
    <w:lvl w:ilvl="3" w:tplc="0406000F" w:tentative="1">
      <w:start w:val="1"/>
      <w:numFmt w:val="decimal"/>
      <w:lvlText w:val="%4."/>
      <w:lvlJc w:val="left"/>
      <w:pPr>
        <w:ind w:left="4548" w:hanging="360"/>
      </w:pPr>
    </w:lvl>
    <w:lvl w:ilvl="4" w:tplc="04060019" w:tentative="1">
      <w:start w:val="1"/>
      <w:numFmt w:val="lowerLetter"/>
      <w:lvlText w:val="%5."/>
      <w:lvlJc w:val="left"/>
      <w:pPr>
        <w:ind w:left="5268" w:hanging="360"/>
      </w:pPr>
    </w:lvl>
    <w:lvl w:ilvl="5" w:tplc="0406001B" w:tentative="1">
      <w:start w:val="1"/>
      <w:numFmt w:val="lowerRoman"/>
      <w:lvlText w:val="%6."/>
      <w:lvlJc w:val="right"/>
      <w:pPr>
        <w:ind w:left="5988" w:hanging="180"/>
      </w:pPr>
    </w:lvl>
    <w:lvl w:ilvl="6" w:tplc="0406000F" w:tentative="1">
      <w:start w:val="1"/>
      <w:numFmt w:val="decimal"/>
      <w:lvlText w:val="%7."/>
      <w:lvlJc w:val="left"/>
      <w:pPr>
        <w:ind w:left="6708" w:hanging="360"/>
      </w:pPr>
    </w:lvl>
    <w:lvl w:ilvl="7" w:tplc="04060019" w:tentative="1">
      <w:start w:val="1"/>
      <w:numFmt w:val="lowerLetter"/>
      <w:lvlText w:val="%8."/>
      <w:lvlJc w:val="left"/>
      <w:pPr>
        <w:ind w:left="7428" w:hanging="360"/>
      </w:pPr>
    </w:lvl>
    <w:lvl w:ilvl="8" w:tplc="0406001B" w:tentative="1">
      <w:start w:val="1"/>
      <w:numFmt w:val="lowerRoman"/>
      <w:lvlText w:val="%9."/>
      <w:lvlJc w:val="right"/>
      <w:pPr>
        <w:ind w:left="8148" w:hanging="180"/>
      </w:pPr>
    </w:lvl>
  </w:abstractNum>
  <w:abstractNum w:abstractNumId="2">
    <w:nsid w:val="727E1E80"/>
    <w:multiLevelType w:val="hybridMultilevel"/>
    <w:tmpl w:val="BCF2327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73FE2DED"/>
    <w:multiLevelType w:val="hybridMultilevel"/>
    <w:tmpl w:val="6D247E5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7B912F9A"/>
    <w:multiLevelType w:val="hybridMultilevel"/>
    <w:tmpl w:val="CB66B9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drawingGridHorizontalSpacing w:val="110"/>
  <w:displayHorizontalDrawingGridEvery w:val="2"/>
  <w:characterSpacingControl w:val="doNotCompress"/>
  <w:hdrShapeDefaults>
    <o:shapedefaults v:ext="edit" spidmax="8193">
      <o:colormenu v:ext="edit" fillcolor="none" strokecolor="none"/>
    </o:shapedefaults>
  </w:hdrShapeDefaults>
  <w:footnotePr>
    <w:footnote w:id="-1"/>
    <w:footnote w:id="0"/>
  </w:footnotePr>
  <w:endnotePr>
    <w:endnote w:id="-1"/>
    <w:endnote w:id="0"/>
  </w:endnotePr>
  <w:compat/>
  <w:rsids>
    <w:rsidRoot w:val="0011765E"/>
    <w:rsid w:val="00014560"/>
    <w:rsid w:val="00017A02"/>
    <w:rsid w:val="000628F1"/>
    <w:rsid w:val="000729B4"/>
    <w:rsid w:val="00075E76"/>
    <w:rsid w:val="000C1B20"/>
    <w:rsid w:val="000F43E5"/>
    <w:rsid w:val="001026AF"/>
    <w:rsid w:val="0011765E"/>
    <w:rsid w:val="0013460A"/>
    <w:rsid w:val="00145540"/>
    <w:rsid w:val="001A08E5"/>
    <w:rsid w:val="001D732A"/>
    <w:rsid w:val="001D77DB"/>
    <w:rsid w:val="0020602C"/>
    <w:rsid w:val="00224B81"/>
    <w:rsid w:val="00224CB0"/>
    <w:rsid w:val="0023542F"/>
    <w:rsid w:val="00237487"/>
    <w:rsid w:val="002A4E0A"/>
    <w:rsid w:val="002A4F3F"/>
    <w:rsid w:val="002C4677"/>
    <w:rsid w:val="002F1BB9"/>
    <w:rsid w:val="002F53B2"/>
    <w:rsid w:val="00314DF7"/>
    <w:rsid w:val="00326284"/>
    <w:rsid w:val="003319EB"/>
    <w:rsid w:val="00335BB5"/>
    <w:rsid w:val="003437CD"/>
    <w:rsid w:val="00386341"/>
    <w:rsid w:val="004105FA"/>
    <w:rsid w:val="0041224C"/>
    <w:rsid w:val="00441E61"/>
    <w:rsid w:val="00443F0D"/>
    <w:rsid w:val="004553AF"/>
    <w:rsid w:val="004608D0"/>
    <w:rsid w:val="004622BB"/>
    <w:rsid w:val="004633AC"/>
    <w:rsid w:val="00481D53"/>
    <w:rsid w:val="0049596C"/>
    <w:rsid w:val="004F4385"/>
    <w:rsid w:val="00501D46"/>
    <w:rsid w:val="00510DCC"/>
    <w:rsid w:val="00525BF5"/>
    <w:rsid w:val="00595C0D"/>
    <w:rsid w:val="005D0900"/>
    <w:rsid w:val="005E49C1"/>
    <w:rsid w:val="005F0177"/>
    <w:rsid w:val="005F5A0B"/>
    <w:rsid w:val="00614C12"/>
    <w:rsid w:val="006226CD"/>
    <w:rsid w:val="00626C78"/>
    <w:rsid w:val="00671A4C"/>
    <w:rsid w:val="0069442D"/>
    <w:rsid w:val="006A69FE"/>
    <w:rsid w:val="006C69EA"/>
    <w:rsid w:val="006E0427"/>
    <w:rsid w:val="006E5BA8"/>
    <w:rsid w:val="00705BFF"/>
    <w:rsid w:val="0073658C"/>
    <w:rsid w:val="00743C80"/>
    <w:rsid w:val="007A66C1"/>
    <w:rsid w:val="007E2504"/>
    <w:rsid w:val="007E250B"/>
    <w:rsid w:val="007E274F"/>
    <w:rsid w:val="007E4845"/>
    <w:rsid w:val="007E50C4"/>
    <w:rsid w:val="007E75F0"/>
    <w:rsid w:val="0080112F"/>
    <w:rsid w:val="008379B6"/>
    <w:rsid w:val="0086083D"/>
    <w:rsid w:val="00875A60"/>
    <w:rsid w:val="008874A7"/>
    <w:rsid w:val="008A7D3E"/>
    <w:rsid w:val="008B1B34"/>
    <w:rsid w:val="008C698C"/>
    <w:rsid w:val="00906340"/>
    <w:rsid w:val="00915EBF"/>
    <w:rsid w:val="00944159"/>
    <w:rsid w:val="00947AE1"/>
    <w:rsid w:val="009576FA"/>
    <w:rsid w:val="00976D42"/>
    <w:rsid w:val="00985BEF"/>
    <w:rsid w:val="0099292D"/>
    <w:rsid w:val="009A06E3"/>
    <w:rsid w:val="009A2C76"/>
    <w:rsid w:val="009A4633"/>
    <w:rsid w:val="009B2C96"/>
    <w:rsid w:val="009B77C5"/>
    <w:rsid w:val="009D18F8"/>
    <w:rsid w:val="009F5037"/>
    <w:rsid w:val="00A100D0"/>
    <w:rsid w:val="00A10613"/>
    <w:rsid w:val="00A16995"/>
    <w:rsid w:val="00A17D4E"/>
    <w:rsid w:val="00A33EE6"/>
    <w:rsid w:val="00A62103"/>
    <w:rsid w:val="00A64218"/>
    <w:rsid w:val="00AD2C48"/>
    <w:rsid w:val="00B40F37"/>
    <w:rsid w:val="00B62C09"/>
    <w:rsid w:val="00B85DD3"/>
    <w:rsid w:val="00BA1915"/>
    <w:rsid w:val="00BF07BB"/>
    <w:rsid w:val="00C11794"/>
    <w:rsid w:val="00C317F5"/>
    <w:rsid w:val="00C4643F"/>
    <w:rsid w:val="00C525BA"/>
    <w:rsid w:val="00C62457"/>
    <w:rsid w:val="00C83443"/>
    <w:rsid w:val="00C901EE"/>
    <w:rsid w:val="00C947FA"/>
    <w:rsid w:val="00CA4A4D"/>
    <w:rsid w:val="00CC2B2C"/>
    <w:rsid w:val="00D10C76"/>
    <w:rsid w:val="00D12D08"/>
    <w:rsid w:val="00D15119"/>
    <w:rsid w:val="00D32750"/>
    <w:rsid w:val="00D402EC"/>
    <w:rsid w:val="00D5242B"/>
    <w:rsid w:val="00D97712"/>
    <w:rsid w:val="00DB478E"/>
    <w:rsid w:val="00DC005A"/>
    <w:rsid w:val="00DD0973"/>
    <w:rsid w:val="00DF4427"/>
    <w:rsid w:val="00E064C4"/>
    <w:rsid w:val="00E120EC"/>
    <w:rsid w:val="00E13691"/>
    <w:rsid w:val="00E55414"/>
    <w:rsid w:val="00E8017C"/>
    <w:rsid w:val="00EE1B59"/>
    <w:rsid w:val="00F33657"/>
    <w:rsid w:val="00F749E3"/>
    <w:rsid w:val="00F778CE"/>
    <w:rsid w:val="00F80F2F"/>
    <w:rsid w:val="00F92B4A"/>
    <w:rsid w:val="00FB48F2"/>
    <w:rsid w:val="00FC5017"/>
    <w:rsid w:val="00FE2246"/>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B20"/>
    <w:pPr>
      <w:spacing w:after="200" w:line="276" w:lineRule="auto"/>
    </w:pPr>
    <w:rPr>
      <w:sz w:val="22"/>
      <w:szCs w:val="22"/>
      <w:lang w:eastAsia="en-US"/>
    </w:rPr>
  </w:style>
  <w:style w:type="paragraph" w:styleId="Overskrift1">
    <w:name w:val="heading 1"/>
    <w:basedOn w:val="Normal"/>
    <w:next w:val="Normal"/>
    <w:link w:val="Overskrift1Tegn"/>
    <w:uiPriority w:val="9"/>
    <w:qFormat/>
    <w:rsid w:val="0011765E"/>
    <w:pPr>
      <w:keepNext/>
      <w:keepLines/>
      <w:spacing w:before="480" w:after="0"/>
      <w:outlineLvl w:val="0"/>
    </w:pPr>
    <w:rPr>
      <w:rFonts w:ascii="Cambria" w:eastAsia="Times New Roman" w:hAnsi="Cambria"/>
      <w:b/>
      <w:bCs/>
      <w:color w:val="365F91"/>
      <w:sz w:val="28"/>
      <w:szCs w:val="28"/>
    </w:rPr>
  </w:style>
  <w:style w:type="paragraph" w:styleId="Overskrift2">
    <w:name w:val="heading 2"/>
    <w:basedOn w:val="Normal"/>
    <w:next w:val="Normal"/>
    <w:link w:val="Overskrift2Tegn"/>
    <w:uiPriority w:val="9"/>
    <w:unhideWhenUsed/>
    <w:qFormat/>
    <w:rsid w:val="0011765E"/>
    <w:pPr>
      <w:keepNext/>
      <w:keepLines/>
      <w:spacing w:before="200" w:after="0"/>
      <w:outlineLvl w:val="1"/>
    </w:pPr>
    <w:rPr>
      <w:rFonts w:ascii="Cambria" w:eastAsia="Times New Roman" w:hAnsi="Cambria"/>
      <w:b/>
      <w:bCs/>
      <w:color w:val="4F81B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1765E"/>
    <w:rPr>
      <w:rFonts w:ascii="Cambria" w:eastAsia="Times New Roman" w:hAnsi="Cambria" w:cs="Times New Roman"/>
      <w:b/>
      <w:bCs/>
      <w:color w:val="365F91"/>
      <w:sz w:val="28"/>
      <w:szCs w:val="28"/>
    </w:rPr>
  </w:style>
  <w:style w:type="character" w:customStyle="1" w:styleId="Overskrift2Tegn">
    <w:name w:val="Overskrift 2 Tegn"/>
    <w:basedOn w:val="Standardskrifttypeiafsnit"/>
    <w:link w:val="Overskrift2"/>
    <w:uiPriority w:val="9"/>
    <w:rsid w:val="0011765E"/>
    <w:rPr>
      <w:rFonts w:ascii="Cambria" w:eastAsia="Times New Roman" w:hAnsi="Cambria" w:cs="Times New Roman"/>
      <w:b/>
      <w:bCs/>
      <w:color w:val="4F81BD"/>
      <w:sz w:val="26"/>
      <w:szCs w:val="26"/>
    </w:rPr>
  </w:style>
  <w:style w:type="table" w:styleId="Tabel-Gitter">
    <w:name w:val="Table Grid"/>
    <w:basedOn w:val="Tabel-Normal"/>
    <w:uiPriority w:val="59"/>
    <w:rsid w:val="00462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ehoved">
    <w:name w:val="header"/>
    <w:basedOn w:val="Normal"/>
    <w:link w:val="SidehovedTegn"/>
    <w:unhideWhenUsed/>
    <w:rsid w:val="001026A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1026AF"/>
    <w:rPr>
      <w:sz w:val="22"/>
      <w:szCs w:val="22"/>
      <w:lang w:eastAsia="en-US"/>
    </w:rPr>
  </w:style>
  <w:style w:type="paragraph" w:styleId="Sidefod">
    <w:name w:val="footer"/>
    <w:basedOn w:val="Normal"/>
    <w:link w:val="SidefodTegn"/>
    <w:uiPriority w:val="99"/>
    <w:unhideWhenUsed/>
    <w:rsid w:val="001026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026AF"/>
    <w:rPr>
      <w:sz w:val="22"/>
      <w:szCs w:val="22"/>
      <w:lang w:eastAsia="en-US"/>
    </w:rPr>
  </w:style>
  <w:style w:type="paragraph" w:styleId="Markeringsbobletekst">
    <w:name w:val="Balloon Text"/>
    <w:basedOn w:val="Normal"/>
    <w:link w:val="MarkeringsbobletekstTegn"/>
    <w:uiPriority w:val="99"/>
    <w:semiHidden/>
    <w:unhideWhenUsed/>
    <w:rsid w:val="001026A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026AF"/>
    <w:rPr>
      <w:rFonts w:ascii="Tahoma" w:hAnsi="Tahoma" w:cs="Tahoma"/>
      <w:sz w:val="16"/>
      <w:szCs w:val="16"/>
      <w:lang w:eastAsia="en-US"/>
    </w:rPr>
  </w:style>
  <w:style w:type="character" w:styleId="Svagfremhvning">
    <w:name w:val="Subtle Emphasis"/>
    <w:basedOn w:val="Standardskrifttypeiafsnit"/>
    <w:uiPriority w:val="19"/>
    <w:qFormat/>
    <w:rsid w:val="001026AF"/>
    <w:rPr>
      <w:i/>
      <w:iCs/>
      <w:color w:val="808080" w:themeColor="text1" w:themeTint="7F"/>
    </w:rPr>
  </w:style>
  <w:style w:type="paragraph" w:styleId="Listeafsnit">
    <w:name w:val="List Paragraph"/>
    <w:basedOn w:val="Normal"/>
    <w:uiPriority w:val="34"/>
    <w:qFormat/>
    <w:rsid w:val="008874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1796</Words>
  <Characters>10957</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KL</Company>
  <LinksUpToDate>false</LinksUpToDate>
  <CharactersWithSpaces>12728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Pilegaard</dc:creator>
  <cp:lastModifiedBy>Povl Skov</cp:lastModifiedBy>
  <cp:revision>2</cp:revision>
  <cp:lastPrinted>2013-12-03T12:10:00Z</cp:lastPrinted>
  <dcterms:created xsi:type="dcterms:W3CDTF">2015-05-21T07:47:00Z</dcterms:created>
  <dcterms:modified xsi:type="dcterms:W3CDTF">2015-05-21T07:47:00Z</dcterms:modified>
</cp:coreProperties>
</file>