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28" w:rsidRDefault="001E43BB" w:rsidP="001E4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Paragrafområder i rammeaftalen for det specialiserede socialområde</w:t>
      </w:r>
      <w:r w:rsidR="005A47BD">
        <w:rPr>
          <w:b/>
          <w:sz w:val="24"/>
          <w:szCs w:val="24"/>
        </w:rPr>
        <w:t xml:space="preserve"> og specialundervisningsområdet</w:t>
      </w:r>
    </w:p>
    <w:p w:rsidR="005A47BD" w:rsidRDefault="005A47BD" w:rsidP="005A47BD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Rammeaftalen dækker f</w:t>
      </w:r>
      <w:r w:rsidRPr="001E1427">
        <w:rPr>
          <w:szCs w:val="20"/>
        </w:rPr>
        <w:t>ølgende områder og paragraffer i Sociallovgivningen (Lov om social service):</w:t>
      </w:r>
    </w:p>
    <w:p w:rsidR="005A47BD" w:rsidRPr="001E1427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ind w:left="567" w:hanging="567"/>
        <w:rPr>
          <w:szCs w:val="20"/>
        </w:rPr>
      </w:pPr>
      <w:r w:rsidRPr="001E1427">
        <w:rPr>
          <w:szCs w:val="20"/>
        </w:rPr>
        <w:t>Børn og unge (§ 32, 36, 66, 67)</w:t>
      </w:r>
    </w:p>
    <w:p w:rsidR="005A47BD" w:rsidRPr="001E1427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ind w:left="567" w:hanging="567"/>
        <w:rPr>
          <w:szCs w:val="20"/>
        </w:rPr>
      </w:pPr>
      <w:r w:rsidRPr="001E1427">
        <w:rPr>
          <w:szCs w:val="20"/>
        </w:rPr>
        <w:t>Stofmisbrug ( § 101, 103, 104, 105, 107 og 108)</w:t>
      </w:r>
    </w:p>
    <w:p w:rsidR="005A47BD" w:rsidRPr="001E1427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ind w:left="567" w:hanging="567"/>
        <w:rPr>
          <w:szCs w:val="20"/>
        </w:rPr>
      </w:pPr>
      <w:r w:rsidRPr="001E1427">
        <w:rPr>
          <w:szCs w:val="20"/>
        </w:rPr>
        <w:t>Voksne Handicappede (§ 103, 104, 105, 107 og 108)</w:t>
      </w:r>
    </w:p>
    <w:p w:rsidR="005A47BD" w:rsidRPr="001E1427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ind w:left="567" w:hanging="567"/>
        <w:rPr>
          <w:szCs w:val="20"/>
        </w:rPr>
      </w:pPr>
      <w:r w:rsidRPr="001E1427">
        <w:rPr>
          <w:szCs w:val="20"/>
        </w:rPr>
        <w:t>Voksne Sindslidende (§ 103, 104, 105, 107 og 108)</w:t>
      </w:r>
    </w:p>
    <w:p w:rsidR="005A47BD" w:rsidRPr="001E1427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ind w:left="567" w:hanging="567"/>
        <w:rPr>
          <w:szCs w:val="20"/>
        </w:rPr>
      </w:pPr>
      <w:r w:rsidRPr="001E1427">
        <w:rPr>
          <w:szCs w:val="20"/>
        </w:rPr>
        <w:t>Herberg og Forsorgshjem (§ 110)</w:t>
      </w:r>
    </w:p>
    <w:p w:rsidR="005A47BD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ind w:left="567" w:hanging="567"/>
        <w:rPr>
          <w:szCs w:val="20"/>
        </w:rPr>
      </w:pPr>
      <w:r w:rsidRPr="001E1427">
        <w:rPr>
          <w:szCs w:val="20"/>
        </w:rPr>
        <w:t>Kvindekrisecentre (§ 109)</w:t>
      </w:r>
    </w:p>
    <w:p w:rsidR="005A47BD" w:rsidRDefault="005A47BD" w:rsidP="005A47BD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Rammeaftalen dækker følgende områder og paragraffer i lov om folkeskolen og lov om specialundervisning for voksne:</w:t>
      </w:r>
    </w:p>
    <w:p w:rsidR="005A47BD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szCs w:val="20"/>
        </w:rPr>
      </w:pPr>
      <w:r>
        <w:rPr>
          <w:szCs w:val="20"/>
        </w:rPr>
        <w:t>Specialundervisning for børn (iht. Folkeskolelovens § 20, stk 3) herunder lands- og landsdelsdækkende undervisningstilbud for børn og unge under 18 år</w:t>
      </w:r>
      <w:r w:rsidRPr="00FF0B7E">
        <w:rPr>
          <w:szCs w:val="20"/>
        </w:rPr>
        <w:t xml:space="preserve"> </w:t>
      </w:r>
    </w:p>
    <w:p w:rsidR="005A47BD" w:rsidRDefault="005A47BD" w:rsidP="005A47BD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szCs w:val="20"/>
        </w:rPr>
      </w:pPr>
      <w:r w:rsidRPr="00FF0B7E">
        <w:rPr>
          <w:szCs w:val="20"/>
        </w:rPr>
        <w:t>Specialundervisning for voksne (</w:t>
      </w:r>
      <w:r>
        <w:rPr>
          <w:szCs w:val="20"/>
        </w:rPr>
        <w:t>iht.</w:t>
      </w:r>
      <w:r w:rsidRPr="00FF0B7E">
        <w:rPr>
          <w:szCs w:val="20"/>
        </w:rPr>
        <w:t>Lov om specialundervisning for voksne § 1, stk. 2 og  § 1, stk 3.)</w:t>
      </w:r>
    </w:p>
    <w:p w:rsidR="005A47BD" w:rsidRDefault="005A47BD" w:rsidP="005A47BD">
      <w:pPr>
        <w:pStyle w:val="Listeafsnit"/>
        <w:numPr>
          <w:ilvl w:val="0"/>
          <w:numId w:val="5"/>
        </w:numPr>
        <w:spacing w:after="0"/>
        <w:rPr>
          <w:szCs w:val="20"/>
        </w:rPr>
      </w:pPr>
      <w:r>
        <w:rPr>
          <w:szCs w:val="20"/>
        </w:rPr>
        <w:t>Specialundervisning for børn (iht. Folkeskolelovens § 20, stk. 2</w:t>
      </w:r>
      <w:r>
        <w:rPr>
          <w:rStyle w:val="Fodnotehenvisning"/>
          <w:szCs w:val="20"/>
        </w:rPr>
        <w:footnoteReference w:id="1"/>
      </w:r>
      <w:r>
        <w:rPr>
          <w:szCs w:val="20"/>
        </w:rPr>
        <w:t>), herunder specialskoler og klasser</w:t>
      </w:r>
      <w:r>
        <w:rPr>
          <w:rStyle w:val="Fodnotehenvisning"/>
          <w:szCs w:val="20"/>
        </w:rPr>
        <w:footnoteReference w:id="2"/>
      </w:r>
      <w:r>
        <w:rPr>
          <w:szCs w:val="20"/>
        </w:rPr>
        <w:t xml:space="preserve">. </w:t>
      </w:r>
    </w:p>
    <w:p w:rsidR="005A47BD" w:rsidRDefault="005A47BD" w:rsidP="005A47BD">
      <w:r>
        <w:br/>
        <w:t>Desuden skal kommunalbestyrelserne og regionsrådene, ifølge bekendtgørelsen om rammeaftaler af 13. marts 2011, i forbindelse med fastlæggelse af udviklingsstrategien sikre indbyrdes koordinering om de mest specialiserede lands- og landsdelsdækkende tilb</w:t>
      </w:r>
      <w:r w:rsidR="00487AFA">
        <w:t xml:space="preserve">ud og sikrede </w:t>
      </w:r>
      <w:r>
        <w:t>afdelinger</w:t>
      </w:r>
      <w:r>
        <w:rPr>
          <w:rStyle w:val="Fodnotehenvisning"/>
        </w:rPr>
        <w:footnoteReference w:id="3"/>
      </w:r>
      <w:r>
        <w:t xml:space="preserve">. </w:t>
      </w:r>
    </w:p>
    <w:p w:rsidR="005A47BD" w:rsidRDefault="005A47BD" w:rsidP="005A47BD">
      <w:pPr>
        <w:spacing w:before="100" w:beforeAutospacing="1" w:after="100" w:afterAutospacing="1"/>
        <w:rPr>
          <w:szCs w:val="20"/>
        </w:rPr>
      </w:pPr>
    </w:p>
    <w:p w:rsidR="005A47BD" w:rsidRPr="001E43BB" w:rsidRDefault="005A47BD" w:rsidP="001E43BB">
      <w:pPr>
        <w:spacing w:after="0"/>
        <w:rPr>
          <w:b/>
          <w:sz w:val="24"/>
          <w:szCs w:val="24"/>
        </w:rPr>
      </w:pPr>
    </w:p>
    <w:p w:rsidR="007F3D28" w:rsidRPr="001F00A0" w:rsidRDefault="005A47BD" w:rsidP="007F3D28">
      <w:pPr>
        <w:spacing w:after="0"/>
        <w:rPr>
          <w:b/>
        </w:rPr>
      </w:pPr>
      <w:r w:rsidRPr="001F00A0">
        <w:rPr>
          <w:b/>
        </w:rPr>
        <w:lastRenderedPageBreak/>
        <w:t xml:space="preserve">I spørgeskemaet til kommunerne er derfor spurgt </w:t>
      </w:r>
      <w:r w:rsidR="001F00A0">
        <w:rPr>
          <w:b/>
        </w:rPr>
        <w:t xml:space="preserve">til </w:t>
      </w:r>
      <w:r w:rsidRPr="001F00A0">
        <w:rPr>
          <w:b/>
        </w:rPr>
        <w:t>følgende paragrafområder:</w:t>
      </w:r>
    </w:p>
    <w:p w:rsidR="005A47BD" w:rsidRDefault="005A47BD" w:rsidP="007F3D28">
      <w:pPr>
        <w:spacing w:after="0"/>
      </w:pPr>
    </w:p>
    <w:p w:rsidR="007F3D28" w:rsidRPr="006067D7" w:rsidRDefault="007F3D28" w:rsidP="007F3D28">
      <w:pPr>
        <w:pStyle w:val="Listeafsnit"/>
        <w:numPr>
          <w:ilvl w:val="0"/>
          <w:numId w:val="1"/>
        </w:numPr>
        <w:spacing w:after="0"/>
        <w:ind w:left="709"/>
        <w:rPr>
          <w:b/>
        </w:rPr>
      </w:pPr>
      <w:r w:rsidRPr="006067D7">
        <w:rPr>
          <w:b/>
        </w:rPr>
        <w:t>Børn og Unge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32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32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Klubtilbud SEL § 36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Klubtilbud SEL § 36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Generelt godkendte plejefamilier og generelt godkendte kommunale plejefamilier SEL § 66, nr. 1 og 2.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Generelt godkendte plejefamilier og generelt godkendte kommunale plejefamilier SEL § 66, nr. 1 og 2.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Opholdssteder for børn og unge efter SEL § 66 nr. 5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Opholdssteder for børn og unge efter SEL § 66 nr. 5 -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Døgninstitutioner efter SEL § 66 nr. 6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Døgninstitutioner efter SEL § 66 nr. 6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Aflastningstilbud SEL § 67 stk. 2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Aflastningstilbud SEL § 67 stk. 2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 67 stk. 2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 67 stk. 2 – Udbud</w:t>
      </w:r>
    </w:p>
    <w:p w:rsidR="007F3D28" w:rsidRDefault="007F3D28" w:rsidP="007F3D28">
      <w:pPr>
        <w:spacing w:after="0"/>
        <w:ind w:left="709"/>
      </w:pPr>
    </w:p>
    <w:p w:rsidR="007F3D28" w:rsidRDefault="007F3D28" w:rsidP="007F3D28">
      <w:pPr>
        <w:pStyle w:val="Listeafsnit"/>
        <w:numPr>
          <w:ilvl w:val="0"/>
          <w:numId w:val="1"/>
        </w:numPr>
        <w:spacing w:after="0"/>
        <w:ind w:left="709"/>
        <w:rPr>
          <w:b/>
        </w:rPr>
      </w:pPr>
      <w:r>
        <w:rPr>
          <w:b/>
        </w:rPr>
        <w:t>Stofmisbrug</w:t>
      </w:r>
    </w:p>
    <w:p w:rsidR="007F3D28" w:rsidRPr="00D94100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 w:rsidRPr="00D94100">
        <w:t>Behandlingstilbud SEL § 101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Behandlingstilbud SEL § 101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103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103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104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104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§§ 107 &amp; 108 samt almenboligloven § 105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§§ 107 &amp; 108 samt almenboligloven § 105 – Udbud</w:t>
      </w:r>
    </w:p>
    <w:p w:rsidR="007F3D28" w:rsidRDefault="007F3D28" w:rsidP="007F3D28">
      <w:pPr>
        <w:spacing w:after="0"/>
        <w:ind w:left="709"/>
      </w:pPr>
    </w:p>
    <w:p w:rsidR="007F3D28" w:rsidRDefault="007F3D28" w:rsidP="007F3D28">
      <w:pPr>
        <w:pStyle w:val="Listeafsnit"/>
        <w:numPr>
          <w:ilvl w:val="0"/>
          <w:numId w:val="1"/>
        </w:numPr>
        <w:spacing w:after="0"/>
        <w:ind w:left="709"/>
        <w:rPr>
          <w:b/>
        </w:rPr>
      </w:pPr>
      <w:r>
        <w:rPr>
          <w:b/>
        </w:rPr>
        <w:t>Voksne handicappede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103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103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104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104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§§ 107 &amp; 108 samt almenboligloven § 105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§§ 107 &amp; 108 samt almenboligloven § 105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Aflastningstilbud SEL § 107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Aflastningstilbud SEL § 107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Plejeboliger efter lov om boliger for ældre og personer med handicap</w:t>
      </w:r>
    </w:p>
    <w:p w:rsidR="007F3D28" w:rsidRDefault="007F3D28" w:rsidP="007F3D28">
      <w:pPr>
        <w:spacing w:after="0"/>
        <w:ind w:left="709"/>
      </w:pPr>
    </w:p>
    <w:p w:rsidR="007F3D28" w:rsidRDefault="007F3D28" w:rsidP="007F3D28">
      <w:pPr>
        <w:pStyle w:val="Listeafsnit"/>
        <w:numPr>
          <w:ilvl w:val="0"/>
          <w:numId w:val="1"/>
        </w:numPr>
        <w:spacing w:after="0"/>
        <w:ind w:left="709"/>
        <w:rPr>
          <w:b/>
        </w:rPr>
      </w:pPr>
      <w:r>
        <w:rPr>
          <w:b/>
        </w:rPr>
        <w:t>Voksne sindslidende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103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103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104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Dagtilbud SEL § 104 – Udbud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§§ 107 &amp; 108 samt almenboligloven § 105 – Efterspørgsel</w:t>
      </w:r>
    </w:p>
    <w:p w:rsidR="007F3D28" w:rsidRDefault="007F3D28" w:rsidP="007F3D28">
      <w:pPr>
        <w:pStyle w:val="Listeafsnit"/>
        <w:numPr>
          <w:ilvl w:val="1"/>
          <w:numId w:val="1"/>
        </w:numPr>
        <w:spacing w:after="0"/>
        <w:ind w:left="709"/>
      </w:pPr>
      <w:r>
        <w:t>Døgntilbud SEL §§ 107 &amp; 108 samt almenboligloven § 105 – Udbud</w:t>
      </w:r>
    </w:p>
    <w:p w:rsidR="0007294C" w:rsidRDefault="0007294C" w:rsidP="007F3D28">
      <w:pPr>
        <w:spacing w:after="0"/>
      </w:pPr>
    </w:p>
    <w:p w:rsidR="001E43BB" w:rsidRPr="001E43BB" w:rsidRDefault="0007294C" w:rsidP="001E43BB">
      <w:pPr>
        <w:pStyle w:val="Listeafsnit"/>
        <w:numPr>
          <w:ilvl w:val="0"/>
          <w:numId w:val="1"/>
        </w:numPr>
        <w:spacing w:after="0"/>
        <w:ind w:left="709"/>
        <w:rPr>
          <w:b/>
        </w:rPr>
      </w:pPr>
      <w:r w:rsidRPr="00411649">
        <w:rPr>
          <w:b/>
        </w:rPr>
        <w:t>Herberg og Forsorgs-hjem</w:t>
      </w:r>
    </w:p>
    <w:p w:rsidR="007F3D28" w:rsidRDefault="007F3D28" w:rsidP="001E43BB">
      <w:pPr>
        <w:pStyle w:val="Listeafsnit"/>
        <w:numPr>
          <w:ilvl w:val="1"/>
          <w:numId w:val="1"/>
        </w:numPr>
        <w:spacing w:after="0"/>
        <w:ind w:left="709"/>
      </w:pPr>
      <w:r>
        <w:t>Midlertidigt ophold til personer med særlige sociale problemer SEL § 110</w:t>
      </w:r>
      <w:r w:rsidR="0007294C">
        <w:t xml:space="preserve"> - Efterspørgsel</w:t>
      </w:r>
    </w:p>
    <w:p w:rsidR="007F3D28" w:rsidRDefault="007F3D28" w:rsidP="0007294C">
      <w:pPr>
        <w:pStyle w:val="Listeafsnit"/>
        <w:numPr>
          <w:ilvl w:val="1"/>
          <w:numId w:val="1"/>
        </w:numPr>
        <w:spacing w:after="0"/>
        <w:ind w:left="709"/>
      </w:pPr>
      <w:r>
        <w:t xml:space="preserve">Midlertidigt ophold til personer med særlige </w:t>
      </w:r>
      <w:r w:rsidR="0007294C">
        <w:t>sociale problemer.SEL § 110 - Udbud</w:t>
      </w:r>
    </w:p>
    <w:p w:rsidR="007F3D28" w:rsidRDefault="007F3D28" w:rsidP="007F3D28">
      <w:pPr>
        <w:spacing w:after="0"/>
      </w:pPr>
    </w:p>
    <w:p w:rsidR="001E43BB" w:rsidRDefault="0007294C" w:rsidP="001E43BB">
      <w:pPr>
        <w:pStyle w:val="Listeafsnit"/>
        <w:numPr>
          <w:ilvl w:val="0"/>
          <w:numId w:val="1"/>
        </w:numPr>
        <w:spacing w:after="0"/>
        <w:ind w:left="709"/>
        <w:rPr>
          <w:b/>
        </w:rPr>
      </w:pPr>
      <w:r w:rsidRPr="001E43BB">
        <w:rPr>
          <w:b/>
        </w:rPr>
        <w:t xml:space="preserve">Kvindekrisecentre </w:t>
      </w:r>
    </w:p>
    <w:p w:rsidR="0007294C" w:rsidRPr="001E43BB" w:rsidRDefault="0007294C" w:rsidP="001E43BB">
      <w:pPr>
        <w:pStyle w:val="Listeafsnit"/>
        <w:numPr>
          <w:ilvl w:val="1"/>
          <w:numId w:val="1"/>
        </w:numPr>
        <w:spacing w:after="0"/>
        <w:ind w:left="709"/>
      </w:pPr>
      <w:r w:rsidRPr="001E43BB">
        <w:t>Midlertidigt ophold til voldsramte kvinder SEL § 109 – Efterspørgsel</w:t>
      </w:r>
    </w:p>
    <w:p w:rsidR="00F53C4D" w:rsidRDefault="0007294C" w:rsidP="001E43BB">
      <w:pPr>
        <w:pStyle w:val="Listeafsnit"/>
        <w:numPr>
          <w:ilvl w:val="1"/>
          <w:numId w:val="1"/>
        </w:numPr>
        <w:spacing w:after="0"/>
        <w:ind w:left="709"/>
      </w:pPr>
      <w:r>
        <w:t>M</w:t>
      </w:r>
      <w:r w:rsidR="005A47BD">
        <w:t>idlertidigt ophold til voldsram</w:t>
      </w:r>
      <w:r>
        <w:t>t</w:t>
      </w:r>
      <w:r w:rsidR="005A47BD">
        <w:t>e</w:t>
      </w:r>
      <w:r>
        <w:t xml:space="preserve"> kvinder SEL § 109 </w:t>
      </w:r>
      <w:r w:rsidR="005A47BD">
        <w:t>–</w:t>
      </w:r>
      <w:r>
        <w:t xml:space="preserve"> Udbud</w:t>
      </w:r>
    </w:p>
    <w:p w:rsidR="005A47BD" w:rsidRDefault="005A47BD" w:rsidP="005A47BD">
      <w:pPr>
        <w:spacing w:after="0"/>
      </w:pPr>
    </w:p>
    <w:p w:rsidR="005A47BD" w:rsidRPr="005A47BD" w:rsidRDefault="005A47BD" w:rsidP="005A47BD">
      <w:pPr>
        <w:pStyle w:val="Listeafsnit"/>
        <w:numPr>
          <w:ilvl w:val="0"/>
          <w:numId w:val="1"/>
        </w:numPr>
        <w:spacing w:after="0"/>
        <w:rPr>
          <w:b/>
        </w:rPr>
      </w:pPr>
      <w:r>
        <w:rPr>
          <w:b/>
        </w:rPr>
        <w:t>Specialundervisning for Voksne</w:t>
      </w:r>
      <w:r w:rsidRPr="005A47BD">
        <w:rPr>
          <w:b/>
        </w:rPr>
        <w:t xml:space="preserve"> </w:t>
      </w:r>
    </w:p>
    <w:p w:rsidR="005A47BD" w:rsidRDefault="005A47BD" w:rsidP="005A47BD">
      <w:pPr>
        <w:pStyle w:val="Listeafsnit"/>
        <w:numPr>
          <w:ilvl w:val="1"/>
          <w:numId w:val="1"/>
        </w:numPr>
        <w:spacing w:after="0"/>
        <w:ind w:left="709"/>
      </w:pPr>
      <w:r>
        <w:t xml:space="preserve">Lov om specialundervisning § 1, stk. 2. og stk 3. - Efterspørgsel </w:t>
      </w:r>
    </w:p>
    <w:p w:rsidR="005A47BD" w:rsidRDefault="005A47BD" w:rsidP="005A47BD">
      <w:pPr>
        <w:pStyle w:val="Listeafsnit"/>
        <w:numPr>
          <w:ilvl w:val="1"/>
          <w:numId w:val="1"/>
        </w:numPr>
        <w:spacing w:after="0"/>
        <w:ind w:left="709"/>
      </w:pPr>
      <w:r>
        <w:t xml:space="preserve">Lov om specialundervisning § 1, stk. 2. og stk. 3 – Udbud </w:t>
      </w:r>
    </w:p>
    <w:p w:rsidR="005A47BD" w:rsidRDefault="005A47BD" w:rsidP="005A47BD">
      <w:pPr>
        <w:spacing w:after="0"/>
      </w:pPr>
    </w:p>
    <w:p w:rsidR="005A47BD" w:rsidRPr="005A47BD" w:rsidRDefault="005A47BD" w:rsidP="005A47BD">
      <w:pPr>
        <w:pStyle w:val="Listeafsnit"/>
        <w:numPr>
          <w:ilvl w:val="0"/>
          <w:numId w:val="1"/>
        </w:numPr>
        <w:spacing w:after="0"/>
        <w:rPr>
          <w:b/>
        </w:rPr>
      </w:pPr>
      <w:r>
        <w:rPr>
          <w:b/>
        </w:rPr>
        <w:t>Specialundervisning for Børn</w:t>
      </w:r>
    </w:p>
    <w:p w:rsidR="005A47BD" w:rsidRDefault="005A47BD" w:rsidP="005A47BD">
      <w:pPr>
        <w:pStyle w:val="Listeafsnit"/>
        <w:numPr>
          <w:ilvl w:val="1"/>
          <w:numId w:val="1"/>
        </w:numPr>
        <w:spacing w:after="0"/>
        <w:ind w:left="709"/>
      </w:pPr>
      <w:r>
        <w:t xml:space="preserve">Folkeskoleloven § 20 stk.2 - Efterspørgsel </w:t>
      </w:r>
    </w:p>
    <w:p w:rsidR="005A47BD" w:rsidRDefault="005A47BD" w:rsidP="005A47BD">
      <w:pPr>
        <w:pStyle w:val="Listeafsnit"/>
        <w:numPr>
          <w:ilvl w:val="1"/>
          <w:numId w:val="1"/>
        </w:numPr>
        <w:spacing w:after="0"/>
        <w:ind w:left="709"/>
      </w:pPr>
      <w:r>
        <w:t xml:space="preserve">Folkeskoleloven § 20 stk.2 - Udbud </w:t>
      </w:r>
    </w:p>
    <w:p w:rsidR="00C30D3F" w:rsidRDefault="00C30D3F" w:rsidP="00C30D3F">
      <w:pPr>
        <w:spacing w:after="0"/>
      </w:pPr>
    </w:p>
    <w:p w:rsidR="00C30D3F" w:rsidRPr="00487AFA" w:rsidRDefault="00C30D3F" w:rsidP="00487AFA">
      <w:pPr>
        <w:pStyle w:val="Listeafsnit"/>
        <w:numPr>
          <w:ilvl w:val="0"/>
          <w:numId w:val="1"/>
        </w:numPr>
        <w:spacing w:after="0"/>
        <w:rPr>
          <w:b/>
        </w:rPr>
      </w:pPr>
      <w:r w:rsidRPr="00487AFA">
        <w:rPr>
          <w:b/>
        </w:rPr>
        <w:t>Specialundervisning for Børn (</w:t>
      </w:r>
      <w:r w:rsidRPr="00487AFA">
        <w:rPr>
          <w:szCs w:val="20"/>
        </w:rPr>
        <w:t>herunder lands- og landsdelsdækkende undervisningstilbud for børn og unge under 18 år)</w:t>
      </w:r>
    </w:p>
    <w:p w:rsidR="00C30D3F" w:rsidRDefault="00C30D3F" w:rsidP="00487AFA">
      <w:pPr>
        <w:pStyle w:val="Listeafsnit"/>
        <w:numPr>
          <w:ilvl w:val="1"/>
          <w:numId w:val="1"/>
        </w:numPr>
        <w:spacing w:after="0"/>
        <w:ind w:left="709"/>
      </w:pPr>
      <w:r>
        <w:t xml:space="preserve">Folkeskoleloven § 20 stk.3 - Efterspørgsel </w:t>
      </w:r>
    </w:p>
    <w:p w:rsidR="00C30D3F" w:rsidRDefault="00C30D3F" w:rsidP="00487AFA">
      <w:pPr>
        <w:pStyle w:val="Listeafsnit"/>
        <w:numPr>
          <w:ilvl w:val="1"/>
          <w:numId w:val="1"/>
        </w:numPr>
        <w:spacing w:after="0"/>
        <w:ind w:left="709"/>
      </w:pPr>
      <w:r>
        <w:t xml:space="preserve">Folkeskoleloven § 20 stk.3 - Udbud </w:t>
      </w:r>
    </w:p>
    <w:p w:rsidR="00487AFA" w:rsidRDefault="00487AFA" w:rsidP="00487AFA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Ift. </w:t>
      </w:r>
      <w:r w:rsidRPr="00CF066B">
        <w:rPr>
          <w:szCs w:val="20"/>
        </w:rPr>
        <w:t xml:space="preserve">de lands- og landsdelsdækkende tilbud </w:t>
      </w:r>
      <w:r>
        <w:rPr>
          <w:szCs w:val="20"/>
        </w:rPr>
        <w:t xml:space="preserve">og sikrede afdelinger </w:t>
      </w:r>
      <w:r w:rsidRPr="00CF066B">
        <w:rPr>
          <w:szCs w:val="20"/>
        </w:rPr>
        <w:t>varetages koordinering og samarbejde om udvikling og kapacitet i samarbejde mellem de 5 regioner</w:t>
      </w:r>
      <w:r>
        <w:rPr>
          <w:szCs w:val="20"/>
        </w:rPr>
        <w:t xml:space="preserve"> og kommunerne</w:t>
      </w:r>
      <w:r w:rsidRPr="00CF066B">
        <w:rPr>
          <w:szCs w:val="20"/>
        </w:rPr>
        <w:t xml:space="preserve">. Spørgsmål om udbud og efterspørgsel af pladser mv. indgår derfor </w:t>
      </w:r>
      <w:r>
        <w:rPr>
          <w:szCs w:val="20"/>
        </w:rPr>
        <w:t xml:space="preserve">også </w:t>
      </w:r>
      <w:r w:rsidRPr="00CF066B">
        <w:rPr>
          <w:szCs w:val="20"/>
        </w:rPr>
        <w:t>i spørgeskema til de kommunale redegørelser.</w:t>
      </w:r>
    </w:p>
    <w:p w:rsidR="005A47BD" w:rsidRDefault="005A47BD" w:rsidP="005A47BD">
      <w:pPr>
        <w:spacing w:after="0"/>
      </w:pPr>
    </w:p>
    <w:sectPr w:rsidR="005A47BD" w:rsidSect="00F53C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BD" w:rsidRDefault="005A47BD" w:rsidP="005A47BD">
      <w:pPr>
        <w:spacing w:after="0" w:line="240" w:lineRule="auto"/>
      </w:pPr>
      <w:r>
        <w:separator/>
      </w:r>
    </w:p>
  </w:endnote>
  <w:endnote w:type="continuationSeparator" w:id="0">
    <w:p w:rsidR="005A47BD" w:rsidRDefault="005A47BD" w:rsidP="005A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BD" w:rsidRDefault="005A47BD" w:rsidP="005A47BD">
      <w:pPr>
        <w:spacing w:after="0" w:line="240" w:lineRule="auto"/>
      </w:pPr>
      <w:r>
        <w:separator/>
      </w:r>
    </w:p>
  </w:footnote>
  <w:footnote w:type="continuationSeparator" w:id="0">
    <w:p w:rsidR="005A47BD" w:rsidRDefault="005A47BD" w:rsidP="005A47BD">
      <w:pPr>
        <w:spacing w:after="0" w:line="240" w:lineRule="auto"/>
      </w:pPr>
      <w:r>
        <w:continuationSeparator/>
      </w:r>
    </w:p>
  </w:footnote>
  <w:footnote w:id="1">
    <w:p w:rsidR="005A47BD" w:rsidRDefault="005A47BD" w:rsidP="005A47BD">
      <w:pPr>
        <w:pStyle w:val="Fodnotetekst"/>
        <w:rPr>
          <w:i/>
        </w:rPr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”Det påhviler kommunalbestyrelsen at sørge for specialundervisning og anden specialpædagogisk bistand til de i stk 1 nævnte børn og unge, herunder børn og unge, hvis udvikling stiller krav om en særlig hensyntagen eller støtte, der bedst kan opfyldes på specialskoler eller i specialklasser eller for hvem undervisning kun kan gennemføres med støtte i den overvejende del af undervisningstiden. Endvidere påhviler det kommunalbestyrelsen at sørge for specialpædagogisk bistand til børn der endnu ikke har påbegyndt skolegangen.</w:t>
      </w:r>
    </w:p>
    <w:p w:rsidR="005A47BD" w:rsidRPr="004F246F" w:rsidRDefault="005A47BD" w:rsidP="005A47BD">
      <w:pPr>
        <w:pStyle w:val="Fodnotetekst"/>
        <w:rPr>
          <w:i/>
        </w:rPr>
      </w:pPr>
      <w:r w:rsidRPr="004F246F">
        <w:rPr>
          <w:i/>
        </w:rPr>
        <w:t>Stk 1:</w:t>
      </w:r>
      <w:r w:rsidRPr="004F246F">
        <w:rPr>
          <w:rStyle w:val="paragrafnr1"/>
          <w:i/>
        </w:rPr>
        <w:t>.</w:t>
      </w:r>
      <w:r w:rsidRPr="004F246F">
        <w:rPr>
          <w:i/>
        </w:rPr>
        <w:t xml:space="preserve"> </w:t>
      </w:r>
      <w:r>
        <w:rPr>
          <w:i/>
        </w:rPr>
        <w:t>”</w:t>
      </w:r>
      <w:r w:rsidRPr="004F246F">
        <w:rPr>
          <w:i/>
        </w:rPr>
        <w:t>Det påhviler kommunalbestyrelsen at sørge for undervisning i grundskolen og 10. klasse af børn og unge under 18 år, der bor eller opholder sig i kommunen, og hvis forældre ønsker dem optaget i folkeskolen, jf. § 54</w:t>
      </w:r>
      <w:r w:rsidRPr="004F246F">
        <w:t xml:space="preserve">.”(Folkeskoleloven,  </w:t>
      </w:r>
      <w:r w:rsidRPr="004F246F">
        <w:rPr>
          <w:rStyle w:val="kortnavn2"/>
          <w:sz w:val="17"/>
          <w:szCs w:val="17"/>
        </w:rPr>
        <w:t>LBK nr 998 af 16/08/2010)</w:t>
      </w:r>
      <w:r>
        <w:rPr>
          <w:rStyle w:val="kortnavn2"/>
          <w:sz w:val="17"/>
          <w:szCs w:val="17"/>
        </w:rPr>
        <w:t xml:space="preserve"> </w:t>
      </w:r>
    </w:p>
    <w:p w:rsidR="005A47BD" w:rsidRPr="00BD064D" w:rsidRDefault="005A47BD" w:rsidP="005A47BD">
      <w:pPr>
        <w:pStyle w:val="Fodnotetekst"/>
        <w:rPr>
          <w:i/>
        </w:rPr>
      </w:pPr>
    </w:p>
  </w:footnote>
  <w:footnote w:id="2">
    <w:p w:rsidR="005A47BD" w:rsidRDefault="005A47BD">
      <w:pPr>
        <w:pStyle w:val="Fodnotetekst"/>
      </w:pPr>
      <w:r>
        <w:rPr>
          <w:rStyle w:val="Fodnotehenvisning"/>
        </w:rPr>
        <w:footnoteRef/>
      </w:r>
      <w:r>
        <w:t xml:space="preserve"> S</w:t>
      </w:r>
      <w:r w:rsidRPr="005A47BD">
        <w:t>pecialundervisningen efter Folkeskolelovens § 20 stk. 2 er ikke en del af rammeaftalen jf. rammeaftalelovgivningen, men de 17 kommuner i region sjælland har valgt at koordinere de  tilbud (specialskoler),hvor der er mindst 5 kommuner, der bruger tilbuddet. Jf. allonge i bilag.</w:t>
      </w:r>
    </w:p>
    <w:p w:rsidR="005A47BD" w:rsidRDefault="005A47BD">
      <w:pPr>
        <w:pStyle w:val="Fodnotetekst"/>
      </w:pPr>
    </w:p>
  </w:footnote>
  <w:footnote w:id="3">
    <w:p w:rsidR="005A47BD" w:rsidRPr="005A47BD" w:rsidRDefault="005A47BD" w:rsidP="005A47BD">
      <w:pPr>
        <w:rPr>
          <w:i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5A47BD">
        <w:rPr>
          <w:i/>
          <w:sz w:val="16"/>
          <w:szCs w:val="16"/>
        </w:rPr>
        <w:t>”§ 8. I forbindelse med fastlæggelsen af udviklingsstrategien skal kommunalbestyrelser og regionsråd sikre indbyrdes koordinering regionerne imellem om de mest specialiserede lands- og landsdelsdækkende tilbud, som er nævnt i bekendtgørelse om principper for kommunernes finansiering af tilbuddene ved de mest specialiserede lands- og landsdelsdækkende tilbud. Derudover skal kommunalbestyrelser og regionsråd sikre koordinationen af sikrede afdelinger.”</w:t>
      </w:r>
    </w:p>
    <w:p w:rsidR="005A47BD" w:rsidRDefault="005A47BD">
      <w:pPr>
        <w:pStyle w:val="Fodnoteteks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2CB"/>
    <w:multiLevelType w:val="hybridMultilevel"/>
    <w:tmpl w:val="FB021670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6DFF"/>
    <w:multiLevelType w:val="hybridMultilevel"/>
    <w:tmpl w:val="914A6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61F2"/>
    <w:multiLevelType w:val="hybridMultilevel"/>
    <w:tmpl w:val="7CE0188A"/>
    <w:lvl w:ilvl="0" w:tplc="040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879"/>
    <w:multiLevelType w:val="multilevel"/>
    <w:tmpl w:val="4E8E3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2C870BD"/>
    <w:multiLevelType w:val="multilevel"/>
    <w:tmpl w:val="4E8E3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4764FB6"/>
    <w:multiLevelType w:val="multilevel"/>
    <w:tmpl w:val="4E8E3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6910FB0"/>
    <w:multiLevelType w:val="hybridMultilevel"/>
    <w:tmpl w:val="4AC03C24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187601"/>
    <w:multiLevelType w:val="multilevel"/>
    <w:tmpl w:val="4E8E3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6E452FF"/>
    <w:multiLevelType w:val="hybridMultilevel"/>
    <w:tmpl w:val="ADCCE3AE"/>
    <w:lvl w:ilvl="0" w:tplc="4210D6B0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37178"/>
    <w:multiLevelType w:val="hybridMultilevel"/>
    <w:tmpl w:val="86F04690"/>
    <w:lvl w:ilvl="0" w:tplc="C91E2B8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67002D3E"/>
    <w:multiLevelType w:val="hybridMultilevel"/>
    <w:tmpl w:val="A81235C6"/>
    <w:lvl w:ilvl="0" w:tplc="ECB452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28"/>
    <w:rsid w:val="0007294C"/>
    <w:rsid w:val="001E43BB"/>
    <w:rsid w:val="001F00A0"/>
    <w:rsid w:val="00242AE1"/>
    <w:rsid w:val="00411649"/>
    <w:rsid w:val="00487AFA"/>
    <w:rsid w:val="005A47BD"/>
    <w:rsid w:val="007F3D28"/>
    <w:rsid w:val="00902432"/>
    <w:rsid w:val="00C30D3F"/>
    <w:rsid w:val="00F53C4D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28"/>
    <w:rPr>
      <w:rFonts w:ascii="Verdana" w:eastAsiaTheme="minorEastAsia" w:hAnsi="Verdana"/>
      <w:sz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3D28"/>
    <w:pPr>
      <w:ind w:left="720"/>
      <w:contextualSpacing/>
    </w:pPr>
  </w:style>
  <w:style w:type="paragraph" w:styleId="Fodnotetekst">
    <w:name w:val="footnote text"/>
    <w:basedOn w:val="Normal"/>
    <w:link w:val="FodnotetekstTegn"/>
    <w:autoRedefine/>
    <w:rsid w:val="005A47BD"/>
    <w:pPr>
      <w:spacing w:after="0" w:line="240" w:lineRule="auto"/>
    </w:pPr>
    <w:rPr>
      <w:rFonts w:eastAsia="Times New Roman" w:cs="Times New Roman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5A47BD"/>
    <w:rPr>
      <w:rFonts w:ascii="Verdana" w:eastAsia="Times New Roman" w:hAnsi="Verdana" w:cs="Times New Roman"/>
      <w:sz w:val="16"/>
      <w:szCs w:val="20"/>
      <w:lang w:eastAsia="da-DK"/>
    </w:rPr>
  </w:style>
  <w:style w:type="character" w:styleId="Fodnotehenvisning">
    <w:name w:val="footnote reference"/>
    <w:basedOn w:val="Standardskrifttypeiafsnit"/>
    <w:rsid w:val="005A47BD"/>
    <w:rPr>
      <w:vertAlign w:val="superscript"/>
    </w:rPr>
  </w:style>
  <w:style w:type="character" w:customStyle="1" w:styleId="paragrafnr1">
    <w:name w:val="paragrafnr1"/>
    <w:basedOn w:val="Standardskrifttypeiafsnit"/>
    <w:rsid w:val="005A47BD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kortnavn2">
    <w:name w:val="kortnavn2"/>
    <w:basedOn w:val="Standardskrifttypeiafsnit"/>
    <w:rsid w:val="005A47BD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FAC5-F6B8-4CC0-BEB8-B51D4C2B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 Install Bruger</dc:creator>
  <cp:keywords/>
  <dc:description/>
  <cp:lastModifiedBy>Citrix Install Bruger</cp:lastModifiedBy>
  <cp:revision>2</cp:revision>
  <cp:lastPrinted>2013-04-04T12:09:00Z</cp:lastPrinted>
  <dcterms:created xsi:type="dcterms:W3CDTF">2013-04-04T12:21:00Z</dcterms:created>
  <dcterms:modified xsi:type="dcterms:W3CDTF">2013-04-04T12:21:00Z</dcterms:modified>
</cp:coreProperties>
</file>